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35BFC" w14:textId="0E0E8F8A" w:rsidR="007B65EA" w:rsidRDefault="007B65EA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B65EA">
        <w:rPr>
          <w:rFonts w:asciiTheme="minorHAnsi" w:hAnsiTheme="minorHAnsi" w:cstheme="minorHAnsi"/>
          <w:bCs/>
          <w:color w:val="000000"/>
          <w:sz w:val="22"/>
          <w:szCs w:val="22"/>
        </w:rPr>
        <w:t>Informacja prasowa</w:t>
      </w:r>
    </w:p>
    <w:p w14:paraId="5FA5646B" w14:textId="77777777" w:rsidR="007B65EA" w:rsidRPr="007B65EA" w:rsidRDefault="007B65EA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0A6855D" w14:textId="2523E5CB" w:rsidR="001F0B68" w:rsidRPr="000014C0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14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Jak integrować migrantów?</w:t>
      </w:r>
    </w:p>
    <w:p w14:paraId="5F56FF33" w14:textId="77777777" w:rsidR="001F0B68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b/>
          <w:bCs/>
          <w:color w:val="121212"/>
          <w:sz w:val="22"/>
          <w:szCs w:val="22"/>
          <w:shd w:val="clear" w:color="auto" w:fill="FFFFFF"/>
        </w:rPr>
      </w:pPr>
      <w:r w:rsidRPr="000014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Temat migracji i integracji napływającej ludności jest kwestią palącą, na której rozwiązanie Unia Europejska nadal nie wypracowała spójnego i skutecznego sposobu. Odpowiedzi na najważniejsze pytania uzyskamy dzięki pracy zespołu prof. Izabeli Grabowskiej, który właśnie rozpoczął badania w ramach prestiżowego grantu Horyzont 2020.</w:t>
      </w:r>
      <w:r w:rsidRPr="000014C0">
        <w:rPr>
          <w:rFonts w:asciiTheme="minorHAnsi" w:hAnsiTheme="minorHAnsi" w:cstheme="minorHAnsi"/>
          <w:b/>
          <w:bCs/>
          <w:color w:val="121212"/>
          <w:sz w:val="22"/>
          <w:szCs w:val="22"/>
          <w:shd w:val="clear" w:color="auto" w:fill="FFFFFF"/>
        </w:rPr>
        <w:t> </w:t>
      </w:r>
    </w:p>
    <w:p w14:paraId="22FBDD6F" w14:textId="77777777" w:rsidR="007B65EA" w:rsidRPr="000014C0" w:rsidRDefault="007B65EA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7892D22" w14:textId="6150C4DA" w:rsidR="001F0B68" w:rsidRPr="000014C0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Nasilający się od 2015 roku napływ migrantów spowodował 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rewizję istniejących i 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przyjęcie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nowych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strategii integracyjnych względem migrantów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przez kraje Unii Europejskiej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. Starzenie się społeczeństw i zapotrzebowanie na konkretne umiejętności sprawia, że migranci mogą wnieść istotny wkład w gospodarkę. Wielu migrantów to właśnie młodzi ludzie, dlatego społeczeństwa muszą znaleźć nowe sposoby na stawienie czoła wyzwaniom powstającym w związku z integracją młodych z państw trzecich i rozwiązać problem wykluczenia społecznego. </w:t>
      </w:r>
    </w:p>
    <w:p w14:paraId="54953084" w14:textId="77777777" w:rsidR="001F0B68" w:rsidRPr="000014C0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Efektywność polityk integracyjnych przyjmowanych przez różne kraje UE zostanie zbadana przez zespół pod kierunkiem prof. Izabeli Grabowskiej. W ramach projektu „Wzmocnienie pozycji młodych migrantów w trudnych warunkach życiowych poprzez płynną integrację” (ang. </w:t>
      </w:r>
      <w:r w:rsidRPr="000014C0">
        <w:rPr>
          <w:rFonts w:asciiTheme="minorHAnsi" w:hAnsiTheme="minorHAnsi" w:cstheme="minorHAnsi"/>
          <w:color w:val="000000"/>
          <w:sz w:val="22"/>
          <w:szCs w:val="22"/>
          <w:lang w:val="en-GB"/>
        </w:rPr>
        <w:t>„</w:t>
      </w:r>
      <w:proofErr w:type="spellStart"/>
      <w:r w:rsidRPr="000014C0">
        <w:rPr>
          <w:rFonts w:asciiTheme="minorHAnsi" w:hAnsiTheme="minorHAnsi" w:cstheme="minorHAnsi"/>
          <w:color w:val="000000"/>
          <w:sz w:val="22"/>
          <w:szCs w:val="22"/>
          <w:lang w:val="en-GB"/>
        </w:rPr>
        <w:t>EMpowerment</w:t>
      </w:r>
      <w:proofErr w:type="spellEnd"/>
      <w:r w:rsidRPr="000014C0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 through liquid Integration of Migrant Youth in vulnerable conditions”). 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Prowadzone w ramach grantu Horyzont 2020 badania mają na celu przyjrzenie się procesom integracji młodych migrantów (15-29 lat), którzy znajdują się w trudnej sytuacji i są obywatelami państw trzecich ogarniętych wojną i objętych dyktaturami. Interdyscyplinarny zespół skupi się na doświadczeniach młodych migrantów, które często były pomijane we wcześniejszych analizach. </w:t>
      </w:r>
    </w:p>
    <w:p w14:paraId="7A731682" w14:textId="1091FB11" w:rsidR="001F0B68" w:rsidRPr="000014C0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W polskim zespole </w:t>
      </w:r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w ramach </w:t>
      </w:r>
      <w:proofErr w:type="spellStart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>Mobility</w:t>
      </w:r>
      <w:proofErr w:type="spellEnd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>Research</w:t>
      </w:r>
      <w:proofErr w:type="spellEnd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>Group</w:t>
      </w:r>
      <w:proofErr w:type="spellEnd"/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pracują: p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>rof. Izabela Grabowska (socjolożka i ekonomistka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), dr Agnieszka Trąbka (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>psycholożka i socjolożka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), dr Magdalena Łużniak-Piecha (</w:t>
      </w:r>
      <w:proofErr w:type="spellStart"/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>psycholozka</w:t>
      </w:r>
      <w:proofErr w:type="spellEnd"/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międzykulturowa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), dr Dominika </w:t>
      </w:r>
      <w:proofErr w:type="spellStart"/>
      <w:r w:rsidRPr="000014C0">
        <w:rPr>
          <w:rFonts w:asciiTheme="minorHAnsi" w:hAnsiTheme="minorHAnsi" w:cstheme="minorHAnsi"/>
          <w:color w:val="000000"/>
          <w:sz w:val="22"/>
          <w:szCs w:val="22"/>
        </w:rPr>
        <w:t>Blachnicka-Ciacek</w:t>
      </w:r>
      <w:proofErr w:type="spellEnd"/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(socjolo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>żka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), Dominika </w:t>
      </w:r>
      <w:proofErr w:type="spellStart"/>
      <w:r w:rsidRPr="000014C0">
        <w:rPr>
          <w:rFonts w:asciiTheme="minorHAnsi" w:hAnsiTheme="minorHAnsi" w:cstheme="minorHAnsi"/>
          <w:color w:val="000000"/>
          <w:sz w:val="22"/>
          <w:szCs w:val="22"/>
        </w:rPr>
        <w:t>Winogrodzka</w:t>
      </w:r>
      <w:proofErr w:type="spellEnd"/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1D5AE2" w:rsidRPr="000014C0">
        <w:rPr>
          <w:rFonts w:asciiTheme="minorHAnsi" w:hAnsiTheme="minorHAnsi" w:cstheme="minorHAnsi"/>
          <w:color w:val="000000"/>
          <w:sz w:val="22"/>
          <w:szCs w:val="22"/>
        </w:rPr>
        <w:t>socjolożka, doktorantka Interdyscyplinarnych Studiów Doktoranckich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; więcej na: </w:t>
      </w:r>
      <w:r w:rsidR="005F47AB" w:rsidRPr="000014C0">
        <w:rPr>
          <w:rFonts w:asciiTheme="minorHAnsi" w:hAnsiTheme="minorHAnsi" w:cstheme="minorHAnsi"/>
          <w:sz w:val="22"/>
          <w:szCs w:val="22"/>
        </w:rPr>
        <w:t>https://english.swps.pl/research/research-centers/mobility-research-group</w:t>
      </w:r>
    </w:p>
    <w:p w14:paraId="2C338246" w14:textId="4B5985E1" w:rsidR="001F0B68" w:rsidRPr="000014C0" w:rsidRDefault="001F0B68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Prace projektowe rozpocznie </w:t>
      </w:r>
      <w:r w:rsidR="005F47AB"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spotkanie </w:t>
      </w:r>
      <w:r w:rsidRPr="000014C0">
        <w:rPr>
          <w:rFonts w:asciiTheme="minorHAnsi" w:hAnsiTheme="minorHAnsi" w:cstheme="minorHAnsi"/>
          <w:color w:val="000000"/>
          <w:sz w:val="22"/>
          <w:szCs w:val="22"/>
        </w:rPr>
        <w:t>kick-off 10 lutego w Luksemburgu. </w:t>
      </w:r>
    </w:p>
    <w:p w14:paraId="5A730B62" w14:textId="42209ACA" w:rsidR="000014C0" w:rsidRPr="000014C0" w:rsidRDefault="001F0B68" w:rsidP="000014C0">
      <w:pPr>
        <w:pStyle w:val="NormalnyWeb"/>
        <w:spacing w:before="0" w:beforeAutospacing="0" w:after="160" w:afterAutospacing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014C0">
        <w:rPr>
          <w:rFonts w:asciiTheme="minorHAnsi" w:hAnsiTheme="minorHAnsi" w:cstheme="minorHAnsi"/>
          <w:color w:val="000000"/>
          <w:sz w:val="22"/>
          <w:szCs w:val="22"/>
        </w:rPr>
        <w:t xml:space="preserve">Więcej informacji o badaniu: </w:t>
      </w:r>
      <w:hyperlink r:id="rId4" w:history="1">
        <w:r w:rsidRPr="000014C0">
          <w:rPr>
            <w:rStyle w:val="Hipercze"/>
            <w:rFonts w:asciiTheme="minorHAnsi" w:hAnsiTheme="minorHAnsi" w:cstheme="minorHAnsi"/>
            <w:color w:val="1155CC"/>
            <w:sz w:val="22"/>
            <w:szCs w:val="22"/>
          </w:rPr>
          <w:t>https://www.swps.pl/nauka-i-badania/sukcesy/20475-prestizowy-grant-horyzont-2020-dla-zespolu-prof-izabeli-grabowskiej</w:t>
        </w:r>
      </w:hyperlink>
      <w:r w:rsidRPr="000014C0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A888765" w14:textId="77777777" w:rsidR="000014C0" w:rsidRPr="000014C0" w:rsidRDefault="000014C0" w:rsidP="000014C0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32BEEA89" w14:textId="77777777" w:rsidR="000014C0" w:rsidRPr="000014C0" w:rsidRDefault="000014C0" w:rsidP="000014C0">
      <w:pPr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000000"/>
          <w:lang w:eastAsia="pl-PL"/>
        </w:rPr>
        <w:lastRenderedPageBreak/>
        <w:t>***</w:t>
      </w:r>
    </w:p>
    <w:p w14:paraId="61385020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b/>
          <w:bCs/>
          <w:color w:val="222222"/>
          <w:lang w:eastAsia="pl-PL"/>
        </w:rPr>
        <w:t>Uniwersytet SWPS</w:t>
      </w:r>
      <w:r w:rsidRPr="000014C0">
        <w:rPr>
          <w:rFonts w:eastAsia="Times New Roman" w:cstheme="minorHAnsi"/>
          <w:color w:val="222222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0014C0">
        <w:rPr>
          <w:rFonts w:eastAsia="Times New Roman" w:cstheme="minorHAnsi"/>
          <w:color w:val="121212"/>
          <w:shd w:val="clear" w:color="auto" w:fill="FFFFFF"/>
          <w:lang w:eastAsia="pl-PL"/>
        </w:rPr>
        <w:t>nauk społecznych i humanistycznych z psychologii, kulturoznawstwa i prawa.</w:t>
      </w:r>
    </w:p>
    <w:p w14:paraId="4866CAF8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 xml:space="preserve"> </w:t>
      </w:r>
    </w:p>
    <w:p w14:paraId="2A8562CA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5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Psyche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6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Prawa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7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Kultur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8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Zarządzania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 i </w:t>
      </w:r>
      <w:hyperlink r:id="rId9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Designu</w:t>
        </w:r>
      </w:hyperlink>
      <w:r w:rsidRPr="000014C0">
        <w:rPr>
          <w:rFonts w:eastAsia="Times New Roman" w:cstheme="minorHAnsi"/>
          <w:color w:val="222222"/>
          <w:lang w:eastAsia="pl-PL"/>
        </w:rPr>
        <w:t>.</w:t>
      </w:r>
    </w:p>
    <w:p w14:paraId="5A2B98ED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000000"/>
          <w:lang w:eastAsia="pl-PL"/>
        </w:rPr>
        <w:t> </w:t>
      </w:r>
    </w:p>
    <w:p w14:paraId="5596A91E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0FE2C8C1" w14:textId="77777777" w:rsidR="000014C0" w:rsidRPr="00F67AE2" w:rsidRDefault="000014C0" w:rsidP="000014C0">
      <w:pPr>
        <w:spacing w:after="0"/>
        <w:jc w:val="both"/>
        <w:rPr>
          <w:rFonts w:cs="Calibri"/>
        </w:rPr>
      </w:pPr>
    </w:p>
    <w:p w14:paraId="7E578CE8" w14:textId="77777777" w:rsidR="000014C0" w:rsidRPr="00A00B1A" w:rsidRDefault="000014C0" w:rsidP="001F0B68">
      <w:pPr>
        <w:pStyle w:val="NormalnyWeb"/>
        <w:spacing w:before="0" w:beforeAutospacing="0" w:after="160" w:afterAutospacing="0" w:line="360" w:lineRule="auto"/>
        <w:rPr>
          <w:rFonts w:ascii="Arial" w:hAnsi="Arial" w:cs="Arial"/>
          <w:sz w:val="22"/>
          <w:szCs w:val="22"/>
        </w:rPr>
      </w:pPr>
    </w:p>
    <w:p w14:paraId="1E6EC936" w14:textId="77777777" w:rsidR="00EC5F02" w:rsidRPr="00A00B1A" w:rsidRDefault="007B65EA" w:rsidP="001F0B68">
      <w:pPr>
        <w:spacing w:line="360" w:lineRule="auto"/>
        <w:rPr>
          <w:rFonts w:ascii="Arial" w:hAnsi="Arial" w:cs="Arial"/>
        </w:rPr>
      </w:pPr>
    </w:p>
    <w:sectPr w:rsidR="00EC5F02" w:rsidRPr="00A0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68"/>
    <w:rsid w:val="000014C0"/>
    <w:rsid w:val="001D5AE2"/>
    <w:rsid w:val="001F0B68"/>
    <w:rsid w:val="005F47AB"/>
    <w:rsid w:val="007B65EA"/>
    <w:rsid w:val="00A00B1A"/>
    <w:rsid w:val="00C14227"/>
    <w:rsid w:val="00DB176D"/>
    <w:rsid w:val="00D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2CA0"/>
  <w15:chartTrackingRefBased/>
  <w15:docId w15:val="{E365B19B-D5EB-4A93-8940-FADBFBE8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F0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F0B6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7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7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7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7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7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014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zarzadz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kultu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ps.pl/strefa-praw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wps.pl/strefa-psych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wps.pl/nauka-i-badania/sukcesy/20475-prestizowy-grant-horyzont-2020-dla-zespolu-prof-izabeli-grabowskiej" TargetMode="External"/><Relationship Id="rId9" Type="http://schemas.openxmlformats.org/officeDocument/2006/relationships/hyperlink" Target="https://design.swps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Katarzyna Banasiak</cp:lastModifiedBy>
  <cp:revision>7</cp:revision>
  <dcterms:created xsi:type="dcterms:W3CDTF">2020-02-05T13:21:00Z</dcterms:created>
  <dcterms:modified xsi:type="dcterms:W3CDTF">2020-02-06T09:36:00Z</dcterms:modified>
</cp:coreProperties>
</file>