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Czy musimy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zasłaniać usta i nos?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Na brodzie, na czole, pod nosem czy na uchu – miejsc, gdzie zakładamy maseczkę jest wiele.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Obowiązek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zakrywania ust i nosa, a nie innych części twarzy, choć ma zmniejszyć rozprzestrzenianie się koronawirusa, budzi wiele kontrowersji. Czy rzeczywiście takie działania niwelują ryzyko zakażenia? Czy i w jakich sytuacjach mamy obowiązek się do niego stosować – wyjaśnia Dorota Szewczyk, studentka prawa z Uniwersytetu SWPS.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Ponownie od 9 października mamy obowiązek zasłaniać usta i nos w miejscach publicznych, wynika z Rozporządzenia Rady Ministrów w sprawie ustanowienia określonych ograniczeń, nakazów i zakazów w związku z epidemią. Nakaz ten zrodził wiele wątpliwości nie tylko co do jego skuteczności w walce z wirusem, lecz także legalności.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 mówi Konstytucja?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rtl w:val="0"/>
        </w:rPr>
        <w:t xml:space="preserve">graniczenia w zakresie korzystania z konstytucyjnych wolności i praw mogą być ustanawiane tylko w ustawie. Obecnie obowiązuje jedynie rozporządzenie, które jest niższe rangą niż ustawa.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Wspomniane rozporządzenie zostało wydane na podstawie ustawy o zapobieganiu oraz zwalczaniu zakażeń i chorób zakaźnych. Wynika z niej, że konieczność stosowania środków profilaktycznych (w tym zasłaniania ust i nosa), można wymusić wyłącznie na osobach chorych. Nie można przecież uznać, że każdy jest zarażony. Takie ograniczenie praw i wolności byłoby nieproporcjonalne względem założonego celu regulacji.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 mocy wspomnianej ustawy osoby chore mogą zwolnić się z obowiązku zasłaniania ust i nosa. Potrzebne jest zaświadczenie lekarskie lub </w:t>
      </w:r>
      <w:r w:rsidDel="00000000" w:rsidR="00000000" w:rsidRPr="00000000">
        <w:rPr>
          <w:rFonts w:ascii="Arial" w:cs="Arial" w:eastAsia="Arial" w:hAnsi="Arial"/>
          <w:rtl w:val="0"/>
        </w:rPr>
        <w:t xml:space="preserve">inny dokument</w:t>
      </w:r>
      <w:r w:rsidDel="00000000" w:rsidR="00000000" w:rsidRPr="00000000">
        <w:rPr>
          <w:rFonts w:ascii="Arial" w:cs="Arial" w:eastAsia="Arial" w:hAnsi="Arial"/>
          <w:rtl w:val="0"/>
        </w:rPr>
        <w:t xml:space="preserve"> potwierdzający: całościowe zaburzenia rozwoju, zaburzenia psychiczne, niepełnosprawność intelektualną w stopniu umiarkowanym, znacznym albo głębokim lub trudności w samodzielnym zakryciu lub odkryciu ust lub nosa.</w:t>
      </w:r>
      <w:r w:rsidDel="00000000" w:rsidR="00000000" w:rsidRPr="00000000">
        <w:rPr>
          <w:rFonts w:ascii="Arial" w:cs="Arial" w:eastAsia="Arial" w:hAnsi="Arial"/>
          <w:rtl w:val="0"/>
        </w:rPr>
        <w:t xml:space="preserve"> O ile sformułowanie „zaświadczenie lekarskie” nie budzi wątpliwości, określenie „inny dokument” jest niejasne. Dokument według Kodeksu cywilnego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to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nośnik informacji umożliwiający zapoznanie się z jej treścią.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oże to być każdy nośnik informacji,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który nie jest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zaświadczeniem lekarskim potwierdzającym daną okoliczność. Można więc posłużyć się zarówno wiadomością e-mail jak i SMS.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Gdy nie nosimy maski</w:t>
        <w:br w:type="textWrapping"/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Osobom, które nie stosują się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do nakazu zasłaniania ust i nosa, stawiany jest zarzut łamania art. 54 Kodeksu Wykroczeń. Według niego złamanie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przepisu wiąże się z karą grzywny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do 500 złotych albo nagan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ą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. Jednak ustawa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ta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dotyczy tylko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chorych, w związku z tym tylko do takiej grupy osób przepis ten powinien mieć zastosowanie. 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Wspomniana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ustawa nie wprowadza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obowiązku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zasłaniania ust i nosa przez osoby zdrowe.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Jednak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w wyniku epidemii COVID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19 lekarze i eksper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ci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w zakresie medycyny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wskazują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na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konieczność noszenia maseczek przez wszystkich.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ieważne, czy są oni zdrowi czy chorzy, czy mają objawy czy też nie. Czasopismo medyczne „The Lancet” na podstawie 172 badań podsumowało,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że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zachowanie dystansu społecznego oraz zakrywanie ust i nosa ogranicza transmisję wirusa COVID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-19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Planowane jest dodanie artykułu: „W przypadku ogłoszenia stanu zagrożenia epidemicznego lub stanu epidemii,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inister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drowia może określić, w drodze rozporządzenia, obowiązek zakrywania przy pomocy maski, maseczki albo kasku ochronnego, ust i nosa”. Co więcej ma być dodany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przepis,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edług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którego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w rozporządzeniu można ustanowić: nakaz zakrywania ust i nosa w określonych okolicznościach, miejscach i obiektach oraz na określonych obszarach wraz ze sposobem realizacji tego nakazu. Za pomocą takiej regulacji nakaz zasłaniania ust i nosa będzie mógł być nałożony nawet na osobę zdrową. Natomiast za nieprzestrzeganie tego nakazu będzie grozić kara grzywny.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ojawić ma się również regulacja pozwalająca na odmowę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sprzedaży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osobie bez założonej maseczki. Obecnie ustawę podpisał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Prezydent RP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. Jednak aby ta ustawa mogła wejść w życie, konieczne jest jeszcze ogłoszenie jej w Dzienniku Ustaw oraz upłynięcia terminu </w:t>
      </w:r>
      <w:r w:rsidDel="00000000" w:rsidR="00000000" w:rsidRPr="00000000">
        <w:rPr>
          <w:rFonts w:ascii="Arial" w:cs="Arial" w:eastAsia="Arial" w:hAnsi="Arial"/>
          <w:i w:val="1"/>
          <w:color w:val="000000"/>
          <w:highlight w:val="white"/>
          <w:rtl w:val="0"/>
        </w:rPr>
        <w:t xml:space="preserve">vacatio legis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, który z racji powagi epidemicznej w kraju, w projekcie określono na jeden dzień.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Dorota Szewczyk, studentka prawa z Uniwersytetu SWPS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right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