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5E37" w:rsidRDefault="002D72B2">
      <w:pPr>
        <w:rPr>
          <w:b/>
          <w:sz w:val="28"/>
          <w:szCs w:val="28"/>
        </w:rPr>
      </w:pPr>
      <w:r>
        <w:rPr>
          <w:b/>
          <w:sz w:val="28"/>
          <w:szCs w:val="28"/>
        </w:rPr>
        <w:t>Raport FUTUREPROOF 2.0. – zarządzanie niepewnością w biznesie, czyli jak tworzyć wpływ w świecie ciągłych zmian</w:t>
      </w:r>
    </w:p>
    <w:p w:rsidR="00E15E37" w:rsidRDefault="002D72B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E15E37" w:rsidRDefault="002D72B2">
      <w:pPr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Gdy wszyscy dyskutowali o kryptowalutach, do wielkiego startu przygotowywali się twórcy modeli generatywnych AI. Gdy świat celebrował globalizację, geopolityczne napięcia narastały, by eksplodować konfliktami zbrojnymi, załamaniem łańcuchów dostaw i spekta</w:t>
      </w:r>
      <w:r>
        <w:rPr>
          <w:rFonts w:ascii="Arial" w:eastAsia="Arial" w:hAnsi="Arial" w:cs="Arial"/>
          <w:b/>
        </w:rPr>
        <w:t>kularną niepewnością. Gdzie szukać przewagi konkurencyjnej, gdy rzeczywistość gospodarcza, geopolityczna i technologiczna składa się w coraz większej części z niewiadomych, a generatywna AI produkuje fantomową „ekspertyzę” szybciej, niż nadążamy ją czytać?</w:t>
      </w:r>
      <w:r>
        <w:rPr>
          <w:rFonts w:ascii="Arial" w:eastAsia="Arial" w:hAnsi="Arial" w:cs="Arial"/>
          <w:b/>
        </w:rPr>
        <w:t xml:space="preserve"> Uniwersytet SWPS prezentuje raport „FUTUREPROOF 2.0. Navigating Uncertainty. Creating Impact”, w którym badacze i eksperci analizują siły i zjawiska, które determinować będą przyszłość polskiego biznesu.</w:t>
      </w:r>
    </w:p>
    <w:p w:rsidR="00E15E37" w:rsidRDefault="00E15E37">
      <w:pPr>
        <w:jc w:val="both"/>
        <w:rPr>
          <w:rFonts w:ascii="Arial" w:eastAsia="Arial" w:hAnsi="Arial" w:cs="Arial"/>
          <w:b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„FUTUREPROOF 2.0.“ to cykl analiz i rozmów z ekspe</w:t>
      </w:r>
      <w:r>
        <w:rPr>
          <w:sz w:val="20"/>
          <w:szCs w:val="20"/>
        </w:rPr>
        <w:t xml:space="preserve">rtami Uniwersytetu SWPS o tym, co NIEoczywiste, NIEznane, NIEprzewidywalne i NIEzauważane. To bliskie spotkania z wiedzą, rekomendacjami oraz ważnymi pytaniami, które czasem warto zadać sobie, a czasem – swojej organizacji. To także case’y pokazujące, jak </w:t>
      </w:r>
      <w:r>
        <w:rPr>
          <w:sz w:val="20"/>
          <w:szCs w:val="20"/>
        </w:rPr>
        <w:t xml:space="preserve">budować lepsze produkty, miasta, międzykulturowe organizacje czy rozwiązania AI dzięki współpracy z naukowcami z Uniwersytetu SWPS.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W jaki sposób polskie firmy mogą przygotować się na ewolucję środowiska biznesowego? Raport identyfikuje cztery istotne ob</w:t>
      </w:r>
      <w:r>
        <w:rPr>
          <w:sz w:val="20"/>
          <w:szCs w:val="20"/>
        </w:rPr>
        <w:t>szary, które zasługują na większą uwagę ze strony organizacji poszukujących długoterminowych strategii rozwoju.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– W erze AI i zdemokratyzowanego dostępu do informacji źródłem trwałej przewagi konkurencyjnej jest głęboka wiedza ekspercka oparta na solidnyc</w:t>
      </w:r>
      <w:r>
        <w:rPr>
          <w:sz w:val="20"/>
          <w:szCs w:val="20"/>
        </w:rPr>
        <w:t>h badaniach i rzeczywistych doświadczeniach rynkowych – wyjaśnia dr Max Bielecki, twórca i autor koncepcji FUTUREPROOF 2.0.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>UNexplored – Inteligencja kulturowa: kluczowa waluta w ekspansji na rynki azjatyckie?</w:t>
      </w: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Globalny biznes jest subtelną grą. Nierozpozn</w:t>
      </w:r>
      <w:r>
        <w:rPr>
          <w:sz w:val="20"/>
          <w:szCs w:val="20"/>
        </w:rPr>
        <w:t xml:space="preserve">anie jej reguł może kosztować miliony. Budowanie kompetencji międzykulturowych nie powinno być ostatnią deską </w:t>
      </w:r>
      <w:r>
        <w:rPr>
          <w:sz w:val="20"/>
          <w:szCs w:val="20"/>
        </w:rPr>
        <w:lastRenderedPageBreak/>
        <w:t>ratunku, ale pierwszym krokiem. Men</w:t>
      </w:r>
      <w:r w:rsidR="00452F56">
        <w:rPr>
          <w:sz w:val="20"/>
          <w:szCs w:val="20"/>
        </w:rPr>
        <w:t>e</w:t>
      </w:r>
      <w:r>
        <w:rPr>
          <w:sz w:val="20"/>
          <w:szCs w:val="20"/>
        </w:rPr>
        <w:t>dżerowie zbyt często sięgają po ekspertów dopiero w momencie, gdy bilans strat staje się alarmujący. Czy polsk</w:t>
      </w:r>
      <w:r>
        <w:rPr>
          <w:sz w:val="20"/>
          <w:szCs w:val="20"/>
        </w:rPr>
        <w:t xml:space="preserve">ie firmy są gotowe na długoterminowe gry strategiczne wymagane na rynkach azjatyckich? Prof. Marcin Jacoby i prof. Karolina Mazurowska przyglądają się gospodarczym relacjom Polski z krajami Azji Wschodniej w kontekście międzykulturowym.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Polskim firmom </w:t>
      </w:r>
      <w:r>
        <w:rPr>
          <w:sz w:val="20"/>
          <w:szCs w:val="20"/>
        </w:rPr>
        <w:t>nie jest łatwo wejść na rynki azjatyckie, bo po pierwsze, są one bardzo konkurencyjne. Po drugie, w wielu obszarach są niezwykle innowacyjne. Nie wkraczamy tam niczym rycerz na białym koniu – musimy się wedrzeć na ten trudny rynek i solidnie do tego się pr</w:t>
      </w:r>
      <w:r>
        <w:rPr>
          <w:sz w:val="20"/>
          <w:szCs w:val="20"/>
        </w:rPr>
        <w:t>zygotować – mówi dr hab. Marcin Jacoby, prof. Uniwersytetu SWPS.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Dane wskazują, że czynniki psychologiczne i kulturowe są w znaczący sposób niedoceniane w codziennej praktyce menedżerów firm, a skuteczne radzenie sobie z różnorodnością ludzi, ich potrzeb </w:t>
      </w:r>
      <w:r>
        <w:rPr>
          <w:sz w:val="20"/>
          <w:szCs w:val="20"/>
        </w:rPr>
        <w:t>czy kontekstów działania jest źródłem przewagi konkurencyjnej nie tylko tysiące kilometrów od granic Unii Europejskiej, ale w każdym niemal polskim przedsiębiorstwie. Różnorodność to nie ideologiczny ozdobnik, lecz potężny katalizator finansowych sukcesów.</w:t>
      </w:r>
      <w:r>
        <w:rPr>
          <w:sz w:val="20"/>
          <w:szCs w:val="20"/>
        </w:rPr>
        <w:t xml:space="preserve"> Firmy z wysoką różnorodnością etniczną na poziomie kadry zarządzającej osiągają wyniki istotnie lepsze niż konkurencja. Podobnie dzieje się w przypadku zrównoważonej reprezentacji płci.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>UNknown – Twórczość versus hype – o AI w branżach kreatywnych</w:t>
      </w: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Dysku</w:t>
      </w:r>
      <w:r>
        <w:rPr>
          <w:sz w:val="20"/>
          <w:szCs w:val="20"/>
        </w:rPr>
        <w:t>rs o masowej redukcji etatów związanej z AI odwraca uwagę od rzeczywistego wyzwania, jakim jest transformacja kompetencji. Prognozy Światowego Forum Ekonomicznego nie wskazują na spadek globalnego zapotrzebowania na pracę, ale na fundamentalną zmianę jej c</w:t>
      </w:r>
      <w:r>
        <w:rPr>
          <w:sz w:val="20"/>
          <w:szCs w:val="20"/>
        </w:rPr>
        <w:t>harakteru. Udział zadań wykonywanych wyłącznie przez człowieka skurczy się z obecnych 47 proc. do 33 proc. do 2030 roku – kluczowa staje się strategiczna relokacja talentów. Kompetencje, które w erze algorytmów będą wyróżniać szczególnie wartościowych prac</w:t>
      </w:r>
      <w:r>
        <w:rPr>
          <w:sz w:val="20"/>
          <w:szCs w:val="20"/>
        </w:rPr>
        <w:t>owników, identyfikują Da</w:t>
      </w:r>
      <w:r w:rsidR="00452F56">
        <w:rPr>
          <w:sz w:val="20"/>
          <w:szCs w:val="20"/>
        </w:rPr>
        <w:t>v</w:t>
      </w:r>
      <w:r>
        <w:rPr>
          <w:sz w:val="20"/>
          <w:szCs w:val="20"/>
        </w:rPr>
        <w:t>id Sypniewski z Wydziału Projektowania i dr Max Bielecki z Katedry Informatyki Uniwersytetu SWPS. Eksperci analizują, co jest barierą w skutecznym wdrażaniu AI. Czy jest to opór zespołów lub firm, czy wręcz przeciwnie – bezkrytyczn</w:t>
      </w:r>
      <w:r>
        <w:rPr>
          <w:sz w:val="20"/>
          <w:szCs w:val="20"/>
        </w:rPr>
        <w:t>e przyjmowanie tego, co się dzieje w świecie nowych narzędzi?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Najważniejsze są te kompetencje, które wykraczają poza możliwości sztucznej inteligencji. Meta-myślenie projektowe, empatyczne rozpoznawanie potrzeb klientów, świadomość procesu projektowego </w:t>
      </w:r>
      <w:r>
        <w:rPr>
          <w:sz w:val="20"/>
          <w:szCs w:val="20"/>
        </w:rPr>
        <w:t>czy proponowanie kreatywnych rozwiązań są walutami przyszłości – wskazuje Da</w:t>
      </w:r>
      <w:r w:rsidR="00452F56">
        <w:rPr>
          <w:sz w:val="20"/>
          <w:szCs w:val="20"/>
        </w:rPr>
        <w:t>v</w:t>
      </w:r>
      <w:r>
        <w:rPr>
          <w:sz w:val="20"/>
          <w:szCs w:val="20"/>
        </w:rPr>
        <w:t>id Sypniewski, wykładowca na Wydziale Projektowania Uniwersytetu SWPS w Warszawie.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Sama umiejętność obsługi narzędzi opartych na sztucznej inteligencji nie zapewni przewagi konku</w:t>
      </w:r>
      <w:r>
        <w:rPr>
          <w:sz w:val="20"/>
          <w:szCs w:val="20"/>
        </w:rPr>
        <w:t xml:space="preserve">rencyjnej. Nowy archetyp profesjonalisty to „talent hybrydowy” – osoba łącząca głęboką wiedzę domenową z biegłością w AI.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>UNnoticed – Czego biznes nie wie o młodym pokoleniu na rynku pracy i… nie tylko</w:t>
      </w: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Badania podważają mit fundamentalnych osobowościowyc</w:t>
      </w:r>
      <w:r>
        <w:rPr>
          <w:sz w:val="20"/>
          <w:szCs w:val="20"/>
        </w:rPr>
        <w:t xml:space="preserve">h różnic między pokoleniami, wskazując na większe znaczenie etapu życia i doświadczeń technologicznych niż metryki. Dr hab. Paula Pustułka, prof. Uniwersytetu SWPS, wskazuje na zmiany, jakie zachodzą w logice lojalności młodszych pracowników. Mogą być oni </w:t>
      </w:r>
      <w:r>
        <w:rPr>
          <w:sz w:val="20"/>
          <w:szCs w:val="20"/>
        </w:rPr>
        <w:t xml:space="preserve">silnie zaangażowani w pracę, ale definiowaną jako budowanie własnego dobrostanu i ścieżki rozwoju.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– Dzisiejsza kariera jest o mnie. To mój rozwój, mój dobrostan i realizacja moich celów finansowych. To nie jest o tym, że kariera znika z pierwszego planu, tylko o tym, że więcej jest stawiania granic – wyjaśnia dr hab. Paula Pustułka, prof. Uniwersytetu </w:t>
      </w:r>
      <w:r>
        <w:rPr>
          <w:sz w:val="20"/>
          <w:szCs w:val="20"/>
        </w:rPr>
        <w:t>SWPS, kierown</w:t>
      </w:r>
      <w:r w:rsidR="00452F56">
        <w:rPr>
          <w:sz w:val="20"/>
          <w:szCs w:val="20"/>
        </w:rPr>
        <w:t>czka</w:t>
      </w:r>
      <w:r>
        <w:rPr>
          <w:sz w:val="20"/>
          <w:szCs w:val="20"/>
        </w:rPr>
        <w:t xml:space="preserve"> Centrum Badawczego Młodzi w Centrum LAB.</w:t>
      </w:r>
      <w:bookmarkStart w:id="0" w:name="_GoBack"/>
      <w:bookmarkEnd w:id="0"/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Ekspertka zwraca też uwagę na przemiany dotyczące życia małżeńsko-rodzinnego i randkowania. Sfera życia romantycznego, seksualnego i rodzinnego jest dla młodych niezwykle ambiwalentna. Nie są oni pr</w:t>
      </w:r>
      <w:r>
        <w:rPr>
          <w:sz w:val="20"/>
          <w:szCs w:val="20"/>
        </w:rPr>
        <w:t>zekonani, czy chcą mieć męża lub żonę, czy chcą mieć dzieci i zaskakująco trwają w tej niepewności, co jest krytycznie istotne dla biznesu. Panuje bardzo normatywne nastawienie, że młodzi ludzie będą żyć w parach – najczęściej heteroseksualnych, będą tworz</w:t>
      </w:r>
      <w:r>
        <w:rPr>
          <w:sz w:val="20"/>
          <w:szCs w:val="20"/>
        </w:rPr>
        <w:t>yć gospodarstwa domowe i tam będą się pojawiać dzieci. Wcale tak nie musi być. Rośnie odsetek osób, które nie chcą wchodzić w związki. W centrum często są indywidualne kariery, a związek niekoniecznie jest wart swojej ceny. Młodzi ludzie będą zatem koncent</w:t>
      </w:r>
      <w:r>
        <w:rPr>
          <w:sz w:val="20"/>
          <w:szCs w:val="20"/>
        </w:rPr>
        <w:t xml:space="preserve">rować się </w:t>
      </w: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na pracy, chociaż – oczywiście – będzie to praca na ich własnych warunkach.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rFonts w:ascii="Roboto" w:eastAsia="Roboto" w:hAnsi="Roboto" w:cs="Roboto"/>
          <w:b/>
          <w:sz w:val="21"/>
          <w:szCs w:val="21"/>
          <w:highlight w:val="white"/>
        </w:rPr>
      </w:pPr>
      <w:r>
        <w:rPr>
          <w:rFonts w:ascii="Roboto" w:eastAsia="Roboto" w:hAnsi="Roboto" w:cs="Roboto"/>
          <w:b/>
          <w:sz w:val="21"/>
          <w:szCs w:val="21"/>
          <w:highlight w:val="white"/>
        </w:rPr>
        <w:t>UNpredictable – Inteligentne wdrażanie sztucznej inteligencji: od eksperymentów do skutecznej transformacji</w:t>
      </w: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Polski biznes stoi przed koniecznością nadrobienia dramatycz</w:t>
      </w:r>
      <w:r>
        <w:rPr>
          <w:sz w:val="20"/>
          <w:szCs w:val="20"/>
        </w:rPr>
        <w:t>nego dystansu technologicznego. Wskaźnik adopcji AI na poziomie 5,9 proc. (wobec średniej UE wynoszącej 13,5 proc.) plasuje nas na przedostatnim miejscu w Unii Europejskiej. Dr Michał Boni i dr hab. Igor Lyubashenko, prof. Uniwersytetu SWPS, odpowiadają na</w:t>
      </w:r>
      <w:r>
        <w:rPr>
          <w:sz w:val="20"/>
          <w:szCs w:val="20"/>
        </w:rPr>
        <w:t xml:space="preserve"> pytania o to, co powstrzymuje menedżerów polskich firm przed odważniejszym sięganiem po AI i o to, co można zrobić, by wdrażanie AI szło mniej opornie.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– W perspektywie 5–10 lat około 60 proc. zatrudnionych będzie korzystało z tzw. pracy poszerzonej, cz</w:t>
      </w:r>
      <w:r>
        <w:rPr>
          <w:sz w:val="20"/>
          <w:szCs w:val="20"/>
        </w:rPr>
        <w:t>yli współpracy człowieka ze sztuczną inteligencją w różnych jej postaciach. Zamiast straszyć technologią, powinniśmy przygotować pracowników na tę właśnie współpracę – wyjaśnia dr Michał Boni z Zakładu Społecznych Zastosowań Nowych Technologii Uniwersytetu</w:t>
      </w:r>
      <w:r>
        <w:rPr>
          <w:sz w:val="20"/>
          <w:szCs w:val="20"/>
        </w:rPr>
        <w:t xml:space="preserve"> SWPS.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Problemem jest niska gotowość menedżerów polskich firm do korzystania z narzędzi cyfrowych, co nie dotyczy tylko AI, ale cyfryzacji w ogóle. W wielu przedsiębiorstwach (zwłaszcza małych i średnich) panuje przekonanie, że do skutecznego działania n</w:t>
      </w:r>
      <w:r>
        <w:rPr>
          <w:sz w:val="20"/>
          <w:szCs w:val="20"/>
        </w:rPr>
        <w:t>ie potrzeba nowoczesnych technologii. Do tego dochodzą obiektywne czynniki, jak kwestia ograniczonych środków na inwestycje, bardzo wysokie ceny energii i brak osób z kompetencjami cyfrowymi i analitycznymi, które pozwalają wprowadzać nowe rozwiązania i zm</w:t>
      </w:r>
      <w:r>
        <w:rPr>
          <w:sz w:val="20"/>
          <w:szCs w:val="20"/>
        </w:rPr>
        <w:t xml:space="preserve">ieniają świadomość liderów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Eksperci zwracają uwagę na to, że droga do realnych wdrożeń AI – zwłaszcza w MŚP i administracji – prowadzi przez odpowiednie warunki do testowania nowych rozwiązań. Ich stworzenie wymaga złożonych technologicznie i legislacyjn</w:t>
      </w:r>
      <w:r>
        <w:rPr>
          <w:sz w:val="20"/>
          <w:szCs w:val="20"/>
        </w:rPr>
        <w:t xml:space="preserve">ie sandboxów, ale na początku często wystarczają bezpieczne warunki eksploracji i budowania kompetencji. </w:t>
      </w:r>
    </w:p>
    <w:p w:rsidR="00E15E37" w:rsidRDefault="00E15E37">
      <w:pPr>
        <w:spacing w:before="1" w:line="300" w:lineRule="auto"/>
        <w:ind w:left="23" w:right="17"/>
        <w:jc w:val="both"/>
        <w:rPr>
          <w:sz w:val="20"/>
          <w:szCs w:val="20"/>
        </w:rPr>
      </w:pPr>
    </w:p>
    <w:p w:rsidR="00E15E37" w:rsidRDefault="002D72B2">
      <w:pPr>
        <w:spacing w:before="1" w:line="300" w:lineRule="auto"/>
        <w:ind w:left="23" w:right="17"/>
        <w:jc w:val="both"/>
        <w:rPr>
          <w:sz w:val="20"/>
          <w:szCs w:val="20"/>
        </w:rPr>
      </w:pPr>
      <w:r>
        <w:rPr>
          <w:sz w:val="20"/>
          <w:szCs w:val="20"/>
        </w:rPr>
        <w:t>„FUTUREPROOF 2.0. Navigating Uncertainty. Creating Impact” jest drugą edycją raportu Futureproof, przygotowaną specjalnie na IMPACT’25 przez Uniwersy</w:t>
      </w:r>
      <w:r>
        <w:rPr>
          <w:sz w:val="20"/>
          <w:szCs w:val="20"/>
        </w:rPr>
        <w:t xml:space="preserve">tet </w:t>
      </w:r>
      <w:r>
        <w:rPr>
          <w:sz w:val="20"/>
          <w:szCs w:val="20"/>
        </w:rPr>
        <w:lastRenderedPageBreak/>
        <w:t>SWPS. Publikacja zawiera szczegółowe analizy, studia przypadków oraz praktyczne wskazówki, które pomagają przełożyć wiedzę ekspercką na konkretne decyzje biznesowe w zmieniającym się otoczeniu gospodarczym.</w:t>
      </w:r>
    </w:p>
    <w:p w:rsidR="00E15E37" w:rsidRDefault="00E15E37">
      <w:pPr>
        <w:widowControl/>
        <w:spacing w:line="276" w:lineRule="auto"/>
        <w:jc w:val="both"/>
        <w:rPr>
          <w:rFonts w:ascii="Arial" w:eastAsia="Arial" w:hAnsi="Arial" w:cs="Arial"/>
          <w:b/>
        </w:rPr>
      </w:pPr>
    </w:p>
    <w:p w:rsidR="00E15E37" w:rsidRDefault="002D72B2">
      <w:pPr>
        <w:widowControl/>
        <w:spacing w:line="276" w:lineRule="auto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****</w:t>
      </w:r>
    </w:p>
    <w:p w:rsidR="00E15E37" w:rsidRDefault="00E15E37">
      <w:pPr>
        <w:widowControl/>
        <w:spacing w:line="276" w:lineRule="auto"/>
        <w:jc w:val="both"/>
        <w:rPr>
          <w:b/>
          <w:sz w:val="20"/>
          <w:szCs w:val="20"/>
        </w:rPr>
      </w:pPr>
    </w:p>
    <w:p w:rsidR="00E15E37" w:rsidRDefault="002D72B2">
      <w:pPr>
        <w:widowControl/>
        <w:spacing w:line="276" w:lineRule="auto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Uniwersytet SWPS </w:t>
      </w:r>
      <w:r>
        <w:rPr>
          <w:sz w:val="20"/>
          <w:szCs w:val="20"/>
        </w:rPr>
        <w:t xml:space="preserve">to nowoczesna uczelnia oparta na trwałych wartościach. Silną pozycję zawdzięcza połączeniu wysokiej jakości dydaktyki z badaniami naukowymi prowadzonymi na najwyższym poziomie. Uczelnia kształci blisko 17 tysięcy studentek i studentów w tym ponad tysiąc z </w:t>
      </w:r>
      <w:r>
        <w:rPr>
          <w:sz w:val="20"/>
          <w:szCs w:val="20"/>
        </w:rPr>
        <w:t>zagranicy oraz ponad 4 tys. słuchaczek i słuchaczy studiów podyplomowych na blisko 50 kierunkach studiów stacjonarnych i niestacjonarnych i ok. 200 kierunkach studiów podyplomowych. Uniwersytet oferuje programy studiów z psychologii, prawa, zarządzania, dz</w:t>
      </w:r>
      <w:r>
        <w:rPr>
          <w:sz w:val="20"/>
          <w:szCs w:val="20"/>
        </w:rPr>
        <w:t>iennikarstwa, filologii, kulturoznawstwa, nowych technologii oraz grafiki i wzornictwa, a także edukację w postaci szkoleń i krótkich kursów akademickich. Uczelnia dba o wysoką wartość akademicką naszych programów oraz ich dostosowanie do wymagań zmieniają</w:t>
      </w:r>
      <w:r>
        <w:rPr>
          <w:sz w:val="20"/>
          <w:szCs w:val="20"/>
        </w:rPr>
        <w:t>cego się rynku pracy. Kampusy Uniwersytetu SWPS znajdują się w sześciu miastach: Warszawie (siedziba), Wrocławiu, Sopocie, Poznaniu, Katowicach i w Krakowie.</w:t>
      </w:r>
    </w:p>
    <w:p w:rsidR="00E15E37" w:rsidRDefault="002D72B2">
      <w:pPr>
        <w:widowControl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Uczelnia posiada uprawnienia do nadawania stopnia doktora oraz doktora habilitowanego w siedmiu dy</w:t>
      </w:r>
      <w:r>
        <w:rPr>
          <w:sz w:val="20"/>
          <w:szCs w:val="20"/>
        </w:rPr>
        <w:t>scyplinach: psychologia, nauki o kulturze i religii, literaturoznawstwo, nauki prawne, nauki socjologiczne, nauki o polityce i administracji, sztuki plastyczne i konserwacja dzieł sztuki. Na Uniwersytecie SWPS funkcjonuje pięć instytutów naukowych, które z</w:t>
      </w:r>
      <w:r>
        <w:rPr>
          <w:sz w:val="20"/>
          <w:szCs w:val="20"/>
        </w:rPr>
        <w:t>ajmują się organizacją i koordynacją działalności naukowej pracowników badawczych i badawczo-dydaktycznych uczelni w poszczególnych dyscyplinach: Instytut Psychologii, Instytut Nauk Humanistycznych, Instytut Nauk Społecznych, Instytut Prawa oraz Instytut P</w:t>
      </w:r>
      <w:r>
        <w:rPr>
          <w:sz w:val="20"/>
          <w:szCs w:val="20"/>
        </w:rPr>
        <w:t>rojektowania. W uczelni działa blisko 30 centrów badawczych oraz ponad 120 kół naukowych.</w:t>
      </w:r>
    </w:p>
    <w:p w:rsidR="00E15E37" w:rsidRDefault="002D72B2">
      <w:pPr>
        <w:widowControl/>
        <w:spacing w:line="276" w:lineRule="auto"/>
        <w:jc w:val="both"/>
        <w:rPr>
          <w:b/>
          <w:sz w:val="28"/>
          <w:szCs w:val="28"/>
        </w:rPr>
      </w:pPr>
      <w:r>
        <w:rPr>
          <w:sz w:val="20"/>
          <w:szCs w:val="20"/>
        </w:rPr>
        <w:t>Uniwersytet SWPS należy do sojuszu European Reform University Alliance (ERUA). Jest to sojusz uczelni zawarty w ramach Inicjatywy Uniwersytetów Europejskich, powołane</w:t>
      </w:r>
      <w:r>
        <w:rPr>
          <w:sz w:val="20"/>
          <w:szCs w:val="20"/>
        </w:rPr>
        <w:t xml:space="preserve">j i finansowanej przez Komisję Europejską. </w:t>
      </w:r>
    </w:p>
    <w:sectPr w:rsidR="00E15E37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0" w:right="1701" w:bottom="2835" w:left="1701" w:header="3685" w:footer="170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2B2" w:rsidRDefault="002D72B2">
      <w:r>
        <w:separator/>
      </w:r>
    </w:p>
  </w:endnote>
  <w:endnote w:type="continuationSeparator" w:id="0">
    <w:p w:rsidR="002D72B2" w:rsidRDefault="002D7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llura">
    <w:charset w:val="00"/>
    <w:family w:val="auto"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E37" w:rsidRDefault="002D72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g">
          <w:drawing>
            <wp:anchor distT="0" distB="0" distL="0" distR="0" simplePos="0" relativeHeight="251656704" behindDoc="1" locked="0" layoutInCell="1" hidden="0" allowOverlap="1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l="0" t="0" r="0" b="0"/>
              <wp:wrapNone/>
              <wp:docPr id="12" name="Prostokąt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3589020" y="3594960"/>
                        <a:ext cx="3513960" cy="3700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15E37" w:rsidRDefault="002D72B2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Uniwersytet SWPS</w:t>
                          </w:r>
                        </w:p>
                        <w:p w:rsidR="00E15E37" w:rsidRDefault="002D72B2">
                          <w:pPr>
                            <w:spacing w:line="275" w:lineRule="auto"/>
                            <w:textDirection w:val="btLr"/>
                          </w:pPr>
                          <w:r>
                            <w:rPr>
                              <w:color w:val="000000"/>
                              <w:sz w:val="14"/>
                            </w:rPr>
                            <w:t>ul. Chodakowska 19/31, 03-815 Warszawa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0</wp:posOffset>
              </wp:positionH>
              <wp:positionV relativeFrom="paragraph">
                <wp:posOffset>9563100</wp:posOffset>
              </wp:positionV>
              <wp:extent cx="3571110" cy="427230"/>
              <wp:effectExtent b="0" l="0" r="0" t="0"/>
              <wp:wrapNone/>
              <wp:docPr id="1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71110" cy="42723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noProof/>
      </w:rPr>
      <mc:AlternateContent>
        <mc:Choice Requires="wpg">
          <w:drawing>
            <wp:anchor distT="0" distB="0" distL="0" distR="0" simplePos="0" relativeHeight="251657728" behindDoc="1" locked="0" layoutInCell="1" hidden="0" allowOverlap="1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l="0" t="0" r="0" b="0"/>
              <wp:wrapNone/>
              <wp:docPr id="13" name="Prostokąt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95100" y="3720240"/>
                        <a:ext cx="901800" cy="1195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E15E37" w:rsidRDefault="002D72B2">
                          <w:pPr>
                            <w:spacing w:before="20"/>
                            <w:ind w:left="20" w:firstLine="120"/>
                            <w:jc w:val="right"/>
                            <w:textDirection w:val="btLr"/>
                          </w:pPr>
                          <w:r>
                            <w:rPr>
                              <w:b/>
                              <w:color w:val="000000"/>
                              <w:sz w:val="14"/>
                            </w:rPr>
                            <w:t>www.swps.pl</w:t>
                          </w:r>
                        </w:p>
                      </w:txbxContent>
                    </wps:txbx>
                    <wps:bodyPr spcFirstLastPara="1" wrap="square" lIns="0" tIns="0" rIns="0" bIns="0" anchor="b" anchorCtr="0">
                      <a:noAutofit/>
                    </wps:bodyPr>
                  </wps:wsp>
                </a:graphicData>
              </a:graphic>
            </wp:anchor>
          </w:drawing>
        </mc:Choice>
        <mc:Fallback xmlns:cr="http://schemas.microsoft.com/office/comments/2020/reactions" xmlns="http://schemas.microsoft.com/office/tasks/2019/documenttasks" xmlns:w16cex="http://schemas.microsoft.com/office/word/2018/wordml/cex" xmlns:w16="http://schemas.microsoft.com/office/word/2018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1" distB="0" distT="0" distL="0" distR="0" hidden="0" layoutInCell="1" locked="0" relativeHeight="0" simplePos="0">
              <wp:simplePos x="0" y="0"/>
              <wp:positionH relativeFrom="column">
                <wp:posOffset>-901699</wp:posOffset>
              </wp:positionH>
              <wp:positionV relativeFrom="paragraph">
                <wp:posOffset>9817100</wp:posOffset>
              </wp:positionV>
              <wp:extent cx="958950" cy="176670"/>
              <wp:effectExtent b="0" l="0" r="0" t="0"/>
              <wp:wrapNone/>
              <wp:docPr id="13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958950" cy="17667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2B2" w:rsidRDefault="002D72B2">
      <w:r>
        <w:separator/>
      </w:r>
    </w:p>
  </w:footnote>
  <w:footnote w:type="continuationSeparator" w:id="0">
    <w:p w:rsidR="002D72B2" w:rsidRDefault="002D72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E37" w:rsidRDefault="002D72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alt="" style="position:absolute;margin-left:0;margin-top:0;width:441.9pt;height:625.15pt;z-index:-251656704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E37" w:rsidRDefault="002D72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anchor distT="0" distB="0" distL="0" distR="0" simplePos="0" relativeHeight="251655680" behindDoc="1" locked="0" layoutInCell="1" hidden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56760" cy="10692000"/>
          <wp:effectExtent l="0" t="0" r="0" b="0"/>
          <wp:wrapNone/>
          <wp:docPr id="14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E37" w:rsidRDefault="002D72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alt="" style="position:absolute;margin-left:0;margin-top:0;width:441.9pt;height:625.15pt;z-index:-251657728;mso-position-horizontal:center;mso-position-horizontal-relative:margin;mso-position-vertical:center;mso-position-vertical-relative:margin">
          <v:imagedata r:id="rId1" o:title="image4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5E37"/>
    <w:rsid w:val="002D72B2"/>
    <w:rsid w:val="00452F56"/>
    <w:rsid w:val="00E1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37B59B9"/>
  <w15:docId w15:val="{9BAAA737-BAC3-4CD6-89E8-EDC0BF10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ontserrat" w:eastAsia="Montserrat" w:hAnsi="Montserrat" w:cs="Montserrat"/>
        <w:sz w:val="22"/>
        <w:szCs w:val="22"/>
        <w:lang w:val="en-US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spacing w:before="25"/>
      <w:ind w:left="20"/>
    </w:pPr>
    <w:rPr>
      <w:rFonts w:ascii="Allura" w:eastAsia="Allura" w:hAnsi="Allura" w:cs="Allura"/>
      <w:sz w:val="59"/>
      <w:szCs w:val="59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G6l3awBEKyuzOGaP10Qr2nDwfNg==">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1497</Words>
  <Characters>8983</Characters>
  <Application>Microsoft Office Word</Application>
  <DocSecurity>0</DocSecurity>
  <Lines>74</Lines>
  <Paragraphs>20</Paragraphs>
  <ScaleCrop>false</ScaleCrop>
  <Company/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Kisiel-Potocka</cp:lastModifiedBy>
  <cp:revision>2</cp:revision>
  <dcterms:created xsi:type="dcterms:W3CDTF">2025-05-15T12:42:00Z</dcterms:created>
  <dcterms:modified xsi:type="dcterms:W3CDTF">2025-05-15T12:43:00Z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lpwstr>2021-08-23T00:00:00Z</vt:lpwstr>
  </property>
  <property fmtid="{D5CDD505-2E9C-101B-9397-08002B2CF9AE}" pid="3" name="Creator">
    <vt:lpwstr>Adobe Illustrator 25.0 (Macintosh)</vt:lpwstr>
  </property>
  <property fmtid="{D5CDD505-2E9C-101B-9397-08002B2CF9AE}" pid="4" name="Created">
    <vt:lpwstr>2021-08-23T00:00:00Z</vt:lpwstr>
  </property>
</Properties>
</file>