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line="360" w:lineRule="auto"/>
        <w:rPr>
          <w:b w:val="1"/>
          <w:color w:val="00206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20" w:line="360" w:lineRule="auto"/>
        <w:rPr>
          <w:b w:val="1"/>
          <w:color w:val="002060"/>
          <w:sz w:val="28"/>
          <w:szCs w:val="28"/>
        </w:rPr>
      </w:pPr>
      <w:r w:rsidDel="00000000" w:rsidR="00000000" w:rsidRPr="00000000">
        <w:rPr>
          <w:b w:val="1"/>
          <w:color w:val="002060"/>
          <w:sz w:val="28"/>
          <w:szCs w:val="28"/>
          <w:rtl w:val="0"/>
        </w:rPr>
        <w:t xml:space="preserve">Trzynaście organizacji z sześciu krajów łączy siły, aby skuteczniej przeciwdziałać dezinformacji.</w:t>
      </w:r>
    </w:p>
    <w:p w:rsidR="00000000" w:rsidDel="00000000" w:rsidP="00000000" w:rsidRDefault="00000000" w:rsidRPr="00000000" w14:paraId="00000003">
      <w:pPr>
        <w:spacing w:after="120" w:line="360" w:lineRule="auto"/>
        <w:rPr>
          <w:b w:val="1"/>
          <w:color w:val="002060"/>
        </w:rPr>
      </w:pPr>
      <w:r w:rsidDel="00000000" w:rsidR="00000000" w:rsidRPr="00000000">
        <w:rPr>
          <w:b w:val="1"/>
          <w:color w:val="002060"/>
          <w:rtl w:val="0"/>
        </w:rPr>
        <w:t xml:space="preserve">Demagog, NASK i Uniwersytet SWPS zajmą się, w ramach międzynarodowego konsorcjum </w:t>
      </w:r>
      <w:hyperlink r:id="rId6">
        <w:r w:rsidDel="00000000" w:rsidR="00000000" w:rsidRPr="00000000">
          <w:rPr>
            <w:b w:val="1"/>
            <w:color w:val="002060"/>
            <w:u w:val="single"/>
            <w:rtl w:val="0"/>
          </w:rPr>
          <w:t xml:space="preserve">CEDMO</w:t>
        </w:r>
      </w:hyperlink>
      <w:r w:rsidDel="00000000" w:rsidR="00000000" w:rsidRPr="00000000">
        <w:rPr>
          <w:b w:val="1"/>
          <w:color w:val="002060"/>
          <w:rtl w:val="0"/>
        </w:rPr>
        <w:t xml:space="preserve">, badaniem i przeciwdziałaniem dezinformacji w Polsce, Czechach i Słowacji. Liderem konsorcjum jest Uniwersytet Karola z Pragi, a wśród międzynarodowego multidyscyplinarnego zespołu znaleźli się m.in. Bellingcat i AFP.</w:t>
      </w:r>
    </w:p>
    <w:p w:rsidR="00000000" w:rsidDel="00000000" w:rsidP="00000000" w:rsidRDefault="00000000" w:rsidRPr="00000000" w14:paraId="00000004">
      <w:pPr>
        <w:spacing w:after="240" w:line="360" w:lineRule="auto"/>
        <w:rPr>
          <w:rFonts w:ascii="Helvetica Neue" w:cs="Helvetica Neue" w:eastAsia="Helvetica Neue" w:hAnsi="Helvetica Neue"/>
          <w:color w:val="002060"/>
        </w:rPr>
      </w:pPr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Celem CEDMO, które działa w Europie Środkowej od października 2021 r., jest analiza i zrozumienie wpływu transformacji cyfrowej na społeczeństwo. Zespół tworzą fact-checkerzy, badacze z obszaru nauk społecznych i technologii, dziennikarze śledczy pracujący nad weryfikacją publicznie dostępnych informacji (OSINT) oraz eksperci ds. mediów i kompetencji medialnych.</w:t>
      </w:r>
    </w:p>
    <w:p w:rsidR="00000000" w:rsidDel="00000000" w:rsidP="00000000" w:rsidRDefault="00000000" w:rsidRPr="00000000" w14:paraId="00000005">
      <w:pPr>
        <w:spacing w:after="240" w:line="360" w:lineRule="auto"/>
        <w:rPr>
          <w:rFonts w:ascii="Helvetica Neue" w:cs="Helvetica Neue" w:eastAsia="Helvetica Neue" w:hAnsi="Helvetica Neue"/>
          <w:b w:val="1"/>
          <w:color w:val="002060"/>
        </w:rPr>
      </w:pPr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Zespół skupi się na identyfikacji, analizie struktury oraz ustalaniu głównych źródeł i mechanizmów działania szeroko rozumianej </w:t>
      </w:r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dezinformacji w</w:t>
      </w:r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 Europie Środkowej. </w:t>
      </w:r>
      <w:r w:rsidDel="00000000" w:rsidR="00000000" w:rsidRPr="00000000">
        <w:rPr>
          <w:rFonts w:ascii="Helvetica Neue" w:cs="Helvetica Neue" w:eastAsia="Helvetica Neue" w:hAnsi="Helvetica Neue"/>
          <w:b w:val="1"/>
          <w:color w:val="002060"/>
          <w:rtl w:val="0"/>
        </w:rPr>
        <w:t xml:space="preserve">Efektem będzie zaproponowanie krótko- i długoterminowych rozwiązań, k</w:t>
      </w:r>
      <w:r w:rsidDel="00000000" w:rsidR="00000000" w:rsidRPr="00000000">
        <w:rPr>
          <w:rFonts w:ascii="Helvetica Neue" w:cs="Helvetica Neue" w:eastAsia="Helvetica Neue" w:hAnsi="Helvetica Neue"/>
          <w:b w:val="1"/>
          <w:color w:val="002060"/>
          <w:rtl w:val="0"/>
        </w:rPr>
        <w:t xml:space="preserve">tóre</w:t>
      </w:r>
      <w:r w:rsidDel="00000000" w:rsidR="00000000" w:rsidRPr="00000000">
        <w:rPr>
          <w:rFonts w:ascii="Helvetica Neue" w:cs="Helvetica Neue" w:eastAsia="Helvetica Neue" w:hAnsi="Helvetica Neue"/>
          <w:b w:val="1"/>
          <w:color w:val="002060"/>
          <w:rtl w:val="0"/>
        </w:rPr>
        <w:t xml:space="preserve"> pomogą społeczeństwu radzić sobie świadomie z  rosnącym wpływem fałszywych i wprowadzających w błąd informacji.</w:t>
      </w:r>
    </w:p>
    <w:p w:rsidR="00000000" w:rsidDel="00000000" w:rsidP="00000000" w:rsidRDefault="00000000" w:rsidRPr="00000000" w14:paraId="00000006">
      <w:pPr>
        <w:spacing w:after="240" w:line="360" w:lineRule="auto"/>
        <w:rPr>
          <w:rFonts w:ascii="Helvetica Neue" w:cs="Helvetica Neue" w:eastAsia="Helvetica Neue" w:hAnsi="Helvetica Neue"/>
          <w:b w:val="1"/>
          <w:color w:val="00206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002060"/>
          <w:rtl w:val="0"/>
        </w:rPr>
        <w:t xml:space="preserve">Badania naukowe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Helvetica Neue" w:cs="Helvetica Neue" w:eastAsia="Helvetica Neue" w:hAnsi="Helvetica Neue"/>
          <w:color w:val="002060"/>
        </w:rPr>
      </w:pPr>
      <w:r w:rsidDel="00000000" w:rsidR="00000000" w:rsidRPr="00000000">
        <w:rPr>
          <w:rFonts w:ascii="Roboto" w:cs="Roboto" w:eastAsia="Roboto" w:hAnsi="Roboto"/>
          <w:color w:val="444746"/>
          <w:sz w:val="21"/>
          <w:szCs w:val="21"/>
          <w:rtl w:val="0"/>
        </w:rPr>
        <w:t xml:space="preserve">“Szybki rozwój technologii niesie ze sobą szereg nowych wyzwań, na które musimy się przygotować, dlatego niezbędne jest poszukiwanie rozwiązań w wielu dyscyplinach. Globalny zasięg informacji, spadek zaufania do prawdziwych tekstów, dźwięków, zdjęć i filmów w wyniku wykorzystania nowych narzędzi sztucznej inteligencji, a także napięta sytuacja geopolityczna i operacje wpływu mocarstw na terytorium obcych państw wymagają podejścia wykorzystującego synergię współpracy międzynarodowej. Cieszymy się, że dzięki specjalistycznej wiedzy naszych naukowców oraz zaufaniu partnerów i sympatyków możemy uczestniczyć w budowaniu odporności  społeczeństw demokratycznych na negatywny wpływ technologii cyfrowych” - mówi Milena Králíčková, rektor Uniwersytetu Karola.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Helvetica Neue" w:cs="Helvetica Neue" w:eastAsia="Helvetica Neue" w:hAnsi="Helvetica Neue"/>
          <w:color w:val="002060"/>
        </w:rPr>
      </w:pPr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Do dotychczasowych ośmiu organizacji wchodzących w skład </w:t>
      </w:r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CEDMO</w:t>
      </w:r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 dołączy pięć kolejnych. Wśród partnerów akademickich, oprócz </w:t>
      </w:r>
      <w:hyperlink r:id="rId7">
        <w:r w:rsidDel="00000000" w:rsidR="00000000" w:rsidRPr="00000000">
          <w:rPr>
            <w:rFonts w:ascii="Helvetica Neue" w:cs="Helvetica Neue" w:eastAsia="Helvetica Neue" w:hAnsi="Helvetica Neue"/>
            <w:color w:val="002060"/>
            <w:u w:val="single"/>
            <w:rtl w:val="0"/>
          </w:rPr>
          <w:t xml:space="preserve">Uniwersytetu Karola</w:t>
        </w:r>
      </w:hyperlink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, nadal w konsorcjum działał będzie </w:t>
      </w:r>
      <w:hyperlink r:id="rId8">
        <w:r w:rsidDel="00000000" w:rsidR="00000000" w:rsidRPr="00000000">
          <w:rPr>
            <w:rFonts w:ascii="Helvetica Neue" w:cs="Helvetica Neue" w:eastAsia="Helvetica Neue" w:hAnsi="Helvetica Neue"/>
            <w:color w:val="002060"/>
            <w:u w:val="single"/>
            <w:rtl w:val="0"/>
          </w:rPr>
          <w:t xml:space="preserve">Uniwersytet SWPS</w:t>
        </w:r>
      </w:hyperlink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, który, jako lider zadań badawczych, </w:t>
      </w:r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skupi się na analizie kampanii dezinformacyjnych oraz ich wpływu na demokrację i gospodarkę. 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Helvetica Neue" w:cs="Helvetica Neue" w:eastAsia="Helvetica Neue" w:hAnsi="Helvetica Neue"/>
          <w:color w:val="002060"/>
        </w:rPr>
      </w:pPr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“W ramach konsorcjum będziemy przede wszystkim kontynuować badania nad dezinformacją, które rozpoczęliśmy w poprzednich latach istnienia CEDMO. Na podstawie naszej wcześniejszej pracy nie tylko powstało kilka książek i wiele artykułów naukowych, udało się także zrealizować działania edukacyjne skierowane do bardzo różnych grup odbiorców: nauczycieli, rodziców, ale także dziennikarzy czy specjalistów Public Relations. Teraz, koordynując działania badawcze w ramach konsorcjum, planujemy skoncentrować się na strukturze treści dezinformacyjnych oraz na odbiorze tego typu przekazów. Regularnie będziemy także badać trendy w szeroko rozumianej dezinformacji oraz ich wpływ na społeczeństwo we wszystkich trzech krajach konsorcjum” - mówi Karina Stasiuk-Krajewska z Uniwersytetu SWPS.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Helvetica Neue" w:cs="Helvetica Neue" w:eastAsia="Helvetica Neue" w:hAnsi="Helvetica Neue"/>
          <w:b w:val="1"/>
          <w:color w:val="00206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002060"/>
          <w:rtl w:val="0"/>
        </w:rPr>
        <w:t xml:space="preserve">Fact-checking</w:t>
      </w:r>
    </w:p>
    <w:p w:rsidR="00000000" w:rsidDel="00000000" w:rsidP="00000000" w:rsidRDefault="00000000" w:rsidRPr="00000000" w14:paraId="0000000B">
      <w:pPr>
        <w:spacing w:after="240" w:line="360" w:lineRule="auto"/>
        <w:rPr>
          <w:rFonts w:ascii="Helvetica Neue" w:cs="Helvetica Neue" w:eastAsia="Helvetica Neue" w:hAnsi="Helvetica Neue"/>
          <w:color w:val="002060"/>
        </w:rPr>
      </w:pPr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Fact-checkingiem zajmie się w Polsce </w:t>
      </w:r>
      <w:hyperlink r:id="rId9">
        <w:r w:rsidDel="00000000" w:rsidR="00000000" w:rsidRPr="00000000">
          <w:rPr>
            <w:rFonts w:ascii="Helvetica Neue" w:cs="Helvetica Neue" w:eastAsia="Helvetica Neue" w:hAnsi="Helvetica Neue"/>
            <w:color w:val="002060"/>
            <w:u w:val="single"/>
            <w:rtl w:val="0"/>
          </w:rPr>
          <w:t xml:space="preserve">Demagog.pl</w:t>
        </w:r>
      </w:hyperlink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 we współpracy z Demagogiem</w:t>
      </w:r>
      <w:hyperlink r:id="rId10">
        <w:r w:rsidDel="00000000" w:rsidR="00000000" w:rsidRPr="00000000">
          <w:rPr>
            <w:rFonts w:ascii="Helvetica Neue" w:cs="Helvetica Neue" w:eastAsia="Helvetica Neue" w:hAnsi="Helvetica Neue"/>
            <w:color w:val="002060"/>
            <w:u w:val="single"/>
            <w:rtl w:val="0"/>
          </w:rPr>
          <w:t xml:space="preserve"> czeskim</w:t>
        </w:r>
      </w:hyperlink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 i </w:t>
      </w:r>
      <w:hyperlink r:id="rId11">
        <w:r w:rsidDel="00000000" w:rsidR="00000000" w:rsidRPr="00000000">
          <w:rPr>
            <w:rFonts w:ascii="Helvetica Neue" w:cs="Helvetica Neue" w:eastAsia="Helvetica Neue" w:hAnsi="Helvetica Neue"/>
            <w:color w:val="002060"/>
            <w:u w:val="single"/>
            <w:rtl w:val="0"/>
          </w:rPr>
          <w:t xml:space="preserve">słowackim</w:t>
        </w:r>
      </w:hyperlink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 oraz </w:t>
      </w:r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francuską agencją </w:t>
      </w:r>
      <w:hyperlink r:id="rId12">
        <w:r w:rsidDel="00000000" w:rsidR="00000000" w:rsidRPr="00000000">
          <w:rPr>
            <w:rFonts w:ascii="Helvetica Neue" w:cs="Helvetica Neue" w:eastAsia="Helvetica Neue" w:hAnsi="Helvetica Neue"/>
            <w:color w:val="002060"/>
            <w:u w:val="single"/>
            <w:rtl w:val="0"/>
          </w:rPr>
          <w:t xml:space="preserve">Agence France-Presse (AFP)</w:t>
        </w:r>
      </w:hyperlink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.</w:t>
      </w:r>
    </w:p>
    <w:p w:rsidR="00000000" w:rsidDel="00000000" w:rsidP="00000000" w:rsidRDefault="00000000" w:rsidRPr="00000000" w14:paraId="0000000C">
      <w:pPr>
        <w:spacing w:after="240" w:line="360" w:lineRule="auto"/>
        <w:rPr>
          <w:rFonts w:ascii="Helvetica Neue" w:cs="Helvetica Neue" w:eastAsia="Helvetica Neue" w:hAnsi="Helvetica Neue"/>
          <w:color w:val="002060"/>
        </w:rPr>
      </w:pPr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“Doskonale zdajemy sobie sprawę z tego, że z dezinformacją możemy wygrać tylko i wyłącznie łącząc siły, działając na wielu poziomach, nauki, badań, edukacji czy fact-checkingu. Chcemy, jak najlepiej i najskuteczniej wykorzystać nasze 10-letnie doświadczenie w weryfikowaniu informacji. Współpraca w ramach CEDMO daje nam możliwość wymiany doświadczeń międzynarodowych i dzielenia się wiedzą” - dodaje prezeska Stowarzyszenia Demagog, Małgorzata Kilian-Grzegorczyk.</w:t>
      </w:r>
    </w:p>
    <w:p w:rsidR="00000000" w:rsidDel="00000000" w:rsidP="00000000" w:rsidRDefault="00000000" w:rsidRPr="00000000" w14:paraId="0000000D">
      <w:pPr>
        <w:spacing w:after="240" w:line="360" w:lineRule="auto"/>
        <w:rPr>
          <w:rFonts w:ascii="Helvetica Neue" w:cs="Helvetica Neue" w:eastAsia="Helvetica Neue" w:hAnsi="Helvetica Neue"/>
          <w:color w:val="002060"/>
        </w:rPr>
      </w:pPr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Ich działania zostaną rozszerzone o weryfikację informacji z publicznie dostępnych źródeł (OSINT), którą przeprowadzi Bellingcat (z siedzibą w Holandii).</w:t>
      </w:r>
    </w:p>
    <w:p w:rsidR="00000000" w:rsidDel="00000000" w:rsidP="00000000" w:rsidRDefault="00000000" w:rsidRPr="00000000" w14:paraId="0000000E">
      <w:pPr>
        <w:spacing w:after="240" w:line="360" w:lineRule="auto"/>
        <w:rPr>
          <w:rFonts w:ascii="Helvetica Neue" w:cs="Helvetica Neue" w:eastAsia="Helvetica Neue" w:hAnsi="Helvetica Neue"/>
          <w:color w:val="002060"/>
        </w:rPr>
      </w:pPr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„W przeciwieństwie do klasycznego dziennikarstwa śledczego, gdzie ustalenia dziennikarza opierają się na źródłach, które często chcą pozostać anonimowe, metoda Bellingcat od samego początku opiera się na przejrzystości i otwartości źródeł publicznie dostępnych. W CEDMO śledczy Bellingcat, wraz z reporterami AFP i fact-checkerami, skupią się na dogłębnym zbadaniu konsekwencji wojny na Ukrainie” - mówi Eliot Higgins, założyciel Bellingcat.</w:t>
      </w:r>
    </w:p>
    <w:p w:rsidR="00000000" w:rsidDel="00000000" w:rsidP="00000000" w:rsidRDefault="00000000" w:rsidRPr="00000000" w14:paraId="0000000F">
      <w:pPr>
        <w:spacing w:after="240" w:line="360" w:lineRule="auto"/>
        <w:rPr>
          <w:rFonts w:ascii="Helvetica Neue" w:cs="Helvetica Neue" w:eastAsia="Helvetica Neue" w:hAnsi="Helvetica Neue"/>
          <w:b w:val="1"/>
          <w:color w:val="00206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002060"/>
          <w:rtl w:val="0"/>
        </w:rPr>
        <w:t xml:space="preserve">Wsparcie technologiczne dla fact-checkerów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Helvetica Neue" w:cs="Helvetica Neue" w:eastAsia="Helvetica Neue" w:hAnsi="Helvetica Neue"/>
          <w:color w:val="002060"/>
        </w:rPr>
      </w:pPr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Trzy podmioty technologiczne, współpracujące w ramach konsorcjum: </w:t>
      </w:r>
      <w:hyperlink r:id="rId13">
        <w:r w:rsidDel="00000000" w:rsidR="00000000" w:rsidRPr="00000000">
          <w:rPr>
            <w:rFonts w:ascii="Helvetica Neue" w:cs="Helvetica Neue" w:eastAsia="Helvetica Neue" w:hAnsi="Helvetica Neue"/>
            <w:color w:val="002060"/>
            <w:u w:val="single"/>
            <w:rtl w:val="0"/>
          </w:rPr>
          <w:t xml:space="preserve">Czeski Uniwersytet Techniczny w Pradze (CTUT)</w:t>
        </w:r>
      </w:hyperlink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, </w:t>
      </w:r>
      <w:hyperlink r:id="rId14">
        <w:r w:rsidDel="00000000" w:rsidR="00000000" w:rsidRPr="00000000">
          <w:rPr>
            <w:rFonts w:ascii="Helvetica Neue" w:cs="Helvetica Neue" w:eastAsia="Helvetica Neue" w:hAnsi="Helvetica Neue"/>
            <w:color w:val="002060"/>
            <w:u w:val="single"/>
            <w:rtl w:val="0"/>
          </w:rPr>
          <w:t xml:space="preserve">Kempelen Institute of Intelligent Technologies (KinIT)</w:t>
        </w:r>
      </w:hyperlink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 na Słowacji oraz </w:t>
      </w:r>
      <w:hyperlink r:id="rId15">
        <w:r w:rsidDel="00000000" w:rsidR="00000000" w:rsidRPr="00000000">
          <w:rPr>
            <w:rFonts w:ascii="Helvetica Neue" w:cs="Helvetica Neue" w:eastAsia="Helvetica Neue" w:hAnsi="Helvetica Neue"/>
            <w:color w:val="002060"/>
            <w:u w:val="single"/>
            <w:rtl w:val="0"/>
          </w:rPr>
          <w:t xml:space="preserve">Athens Technology Center (ATC)</w:t>
        </w:r>
      </w:hyperlink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 w Grecji wdrożą narzędzia, </w:t>
      </w:r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które usprawnią pracę fact-checkerów</w:t>
      </w:r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 oraz ułatwią wykrywanie fałszywych treści. </w:t>
      </w:r>
      <w:r w:rsidDel="00000000" w:rsidR="00000000" w:rsidRPr="00000000">
        <w:rPr>
          <w:rFonts w:ascii="Helvetica Neue" w:cs="Helvetica Neue" w:eastAsia="Helvetica Neue" w:hAnsi="Helvetica Neue"/>
          <w:b w:val="1"/>
          <w:color w:val="002060"/>
          <w:rtl w:val="0"/>
        </w:rPr>
        <w:t xml:space="preserve">Głównym celem w tym obszarze będzie badanie i rozwijanie rozwiązań opartych na sztucznej inteligencji, które pomogą wykrywać treści dezinformacyjne (w formie tekstu, ale też nagrania, zdjęcia czy filmu) oraz tworzyć wiarygodne informacje.  </w:t>
      </w:r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Działania konsorcjum w zakresie kompetencji medialnych (media literacy) koordynować i realizować będzie ins</w:t>
      </w:r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tytut badawczy </w:t>
      </w:r>
      <w:hyperlink r:id="rId16">
        <w:r w:rsidDel="00000000" w:rsidR="00000000" w:rsidRPr="00000000">
          <w:rPr>
            <w:rFonts w:ascii="Helvetica Neue" w:cs="Helvetica Neue" w:eastAsia="Helvetica Neue" w:hAnsi="Helvetica Neue"/>
            <w:color w:val="002060"/>
            <w:u w:val="single"/>
            <w:rtl w:val="0"/>
          </w:rPr>
          <w:t xml:space="preserve">NASK</w:t>
        </w:r>
      </w:hyperlink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line="360" w:lineRule="auto"/>
        <w:rPr>
          <w:rFonts w:ascii="Helvetica Neue" w:cs="Helvetica Neue" w:eastAsia="Helvetica Neue" w:hAnsi="Helvetica Neue"/>
          <w:color w:val="002060"/>
        </w:rPr>
      </w:pPr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Za strategię i komunikację odpowiedzialny będzie międzynarodowy think tank</w:t>
      </w:r>
      <w:hyperlink r:id="rId17">
        <w:r w:rsidDel="00000000" w:rsidR="00000000" w:rsidRPr="00000000">
          <w:rPr>
            <w:rFonts w:ascii="Helvetica Neue" w:cs="Helvetica Neue" w:eastAsia="Helvetica Neue" w:hAnsi="Helvetica Neue"/>
            <w:color w:val="002060"/>
            <w:rtl w:val="0"/>
          </w:rPr>
          <w:t xml:space="preserve"> </w:t>
        </w:r>
      </w:hyperlink>
      <w:hyperlink r:id="rId18">
        <w:r w:rsidDel="00000000" w:rsidR="00000000" w:rsidRPr="00000000">
          <w:rPr>
            <w:rFonts w:ascii="Helvetica Neue" w:cs="Helvetica Neue" w:eastAsia="Helvetica Neue" w:hAnsi="Helvetica Neue"/>
            <w:color w:val="002060"/>
            <w:u w:val="single"/>
            <w:rtl w:val="0"/>
          </w:rPr>
          <w:t xml:space="preserve">Globsec</w:t>
        </w:r>
      </w:hyperlink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 i słowacka agencja PR </w:t>
      </w:r>
      <w:hyperlink r:id="rId19">
        <w:r w:rsidDel="00000000" w:rsidR="00000000" w:rsidRPr="00000000">
          <w:rPr>
            <w:rFonts w:ascii="Helvetica Neue" w:cs="Helvetica Neue" w:eastAsia="Helvetica Neue" w:hAnsi="Helvetica Neue"/>
            <w:color w:val="002060"/>
            <w:u w:val="single"/>
            <w:rtl w:val="0"/>
          </w:rPr>
          <w:t xml:space="preserve">Seesame</w:t>
        </w:r>
      </w:hyperlink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.</w:t>
      </w:r>
    </w:p>
    <w:p w:rsidR="00000000" w:rsidDel="00000000" w:rsidP="00000000" w:rsidRDefault="00000000" w:rsidRPr="00000000" w14:paraId="00000012">
      <w:pPr>
        <w:spacing w:after="240" w:line="360" w:lineRule="auto"/>
        <w:rPr>
          <w:rFonts w:ascii="Helvetica Neue" w:cs="Helvetica Neue" w:eastAsia="Helvetica Neue" w:hAnsi="Helvetica Neue"/>
          <w:color w:val="002060"/>
        </w:rPr>
      </w:pPr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CEDMO</w:t>
      </w:r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 współpracuje i koordynuje działania z Europejskim Obserwatorium Mediów Cyfrowych (</w:t>
      </w:r>
      <w:hyperlink r:id="rId20">
        <w:r w:rsidDel="00000000" w:rsidR="00000000" w:rsidRPr="00000000">
          <w:rPr>
            <w:rFonts w:ascii="Helvetica Neue" w:cs="Helvetica Neue" w:eastAsia="Helvetica Neue" w:hAnsi="Helvetica Neue"/>
            <w:color w:val="002060"/>
            <w:u w:val="single"/>
            <w:rtl w:val="0"/>
          </w:rPr>
          <w:t xml:space="preserve">EDMO</w:t>
        </w:r>
      </w:hyperlink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) oraz jego</w:t>
      </w:r>
      <w:hyperlink r:id="rId21">
        <w:r w:rsidDel="00000000" w:rsidR="00000000" w:rsidRPr="00000000">
          <w:rPr>
            <w:rFonts w:ascii="Helvetica Neue" w:cs="Helvetica Neue" w:eastAsia="Helvetica Neue" w:hAnsi="Helvetica Neue"/>
            <w:color w:val="002060"/>
            <w:u w:val="single"/>
            <w:rtl w:val="0"/>
          </w:rPr>
          <w:t xml:space="preserve"> regionalnymi ośrodkami w całej Unii Europejskiej</w:t>
        </w:r>
      </w:hyperlink>
      <w:r w:rsidDel="00000000" w:rsidR="00000000" w:rsidRPr="00000000">
        <w:rPr>
          <w:rFonts w:ascii="Helvetica Neue" w:cs="Helvetica Neue" w:eastAsia="Helvetica Neue" w:hAnsi="Helvetica Neue"/>
          <w:color w:val="002060"/>
          <w:rtl w:val="0"/>
        </w:rPr>
        <w:t xml:space="preserve">. Działalność Centrum jest wspierana przez fundusze Komisji Europejskiej.</w:t>
      </w:r>
    </w:p>
    <w:p w:rsidR="00000000" w:rsidDel="00000000" w:rsidP="00000000" w:rsidRDefault="00000000" w:rsidRPr="00000000" w14:paraId="00000013">
      <w:pPr>
        <w:spacing w:line="360" w:lineRule="auto"/>
        <w:jc w:val="right"/>
        <w:rPr>
          <w:rFonts w:ascii="Lora" w:cs="Lora" w:eastAsia="Lora" w:hAnsi="Lora"/>
          <w:color w:val="0f3566"/>
          <w:sz w:val="16"/>
          <w:szCs w:val="16"/>
        </w:rPr>
      </w:pPr>
      <w:r w:rsidDel="00000000" w:rsidR="00000000" w:rsidRPr="00000000">
        <w:rPr>
          <w:rFonts w:ascii="Lora" w:cs="Lora" w:eastAsia="Lora" w:hAnsi="Lora"/>
          <w:b w:val="1"/>
          <w:color w:val="0f3566"/>
          <w:sz w:val="18"/>
          <w:szCs w:val="18"/>
          <w:rtl w:val="0"/>
        </w:rPr>
        <w:t xml:space="preserve">Więcej informacji:</w:t>
        <w:br w:type="textWrapping"/>
      </w:r>
      <w:r w:rsidDel="00000000" w:rsidR="00000000" w:rsidRPr="00000000">
        <w:rPr>
          <w:rFonts w:ascii="Lora" w:cs="Lora" w:eastAsia="Lora" w:hAnsi="Lora"/>
          <w:color w:val="0f3566"/>
          <w:sz w:val="18"/>
          <w:szCs w:val="18"/>
          <w:rtl w:val="0"/>
        </w:rPr>
        <w:t xml:space="preserve">Stowarzyszenie Demagog</w:t>
        <w:br w:type="textWrapping"/>
      </w:r>
      <w:r w:rsidDel="00000000" w:rsidR="00000000" w:rsidRPr="00000000">
        <w:rPr>
          <w:rFonts w:ascii="Lora" w:cs="Lora" w:eastAsia="Lora" w:hAnsi="Lora"/>
          <w:color w:val="0f3566"/>
          <w:sz w:val="14"/>
          <w:szCs w:val="14"/>
          <w:rtl w:val="0"/>
        </w:rPr>
        <w:t xml:space="preserve"> </w:t>
      </w:r>
      <w:r w:rsidDel="00000000" w:rsidR="00000000" w:rsidRPr="00000000">
        <w:rPr>
          <w:rFonts w:ascii="Lora" w:cs="Lora" w:eastAsia="Lora" w:hAnsi="Lora"/>
          <w:color w:val="0f3566"/>
          <w:sz w:val="16"/>
          <w:szCs w:val="16"/>
          <w:rtl w:val="0"/>
        </w:rPr>
        <w:t xml:space="preserve">Marcel Kiełtyka</w:t>
        <w:br w:type="textWrapping"/>
        <w:t xml:space="preserve">kontakt@demagog.org.pl</w:t>
        <w:br w:type="textWrapping"/>
        <w:t xml:space="preserve">tel.: 507099993</w:t>
      </w:r>
    </w:p>
    <w:p w:rsidR="00000000" w:rsidDel="00000000" w:rsidP="00000000" w:rsidRDefault="00000000" w:rsidRPr="00000000" w14:paraId="00000014">
      <w:pPr>
        <w:spacing w:line="360" w:lineRule="auto"/>
        <w:jc w:val="right"/>
        <w:rPr>
          <w:rFonts w:ascii="Lora" w:cs="Lora" w:eastAsia="Lora" w:hAnsi="Lora"/>
          <w:color w:val="0f35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jc w:val="right"/>
        <w:rPr>
          <w:rFonts w:ascii="Lora" w:cs="Lora" w:eastAsia="Lora" w:hAnsi="Lora"/>
          <w:color w:val="0f3566"/>
          <w:sz w:val="16"/>
          <w:szCs w:val="16"/>
        </w:rPr>
      </w:pPr>
      <w:r w:rsidDel="00000000" w:rsidR="00000000" w:rsidRPr="00000000">
        <w:rPr>
          <w:rFonts w:ascii="Lora" w:cs="Lora" w:eastAsia="Lora" w:hAnsi="Lora"/>
          <w:color w:val="0f3566"/>
          <w:sz w:val="16"/>
          <w:szCs w:val="16"/>
          <w:rtl w:val="0"/>
        </w:rPr>
        <w:t xml:space="preserve">Uniwersytet SWPS</w:t>
        <w:br w:type="textWrapping"/>
        <w:t xml:space="preserve">prof. Karina Stasiuk-Krajewska </w:t>
      </w:r>
    </w:p>
    <w:p w:rsidR="00000000" w:rsidDel="00000000" w:rsidP="00000000" w:rsidRDefault="00000000" w:rsidRPr="00000000" w14:paraId="00000016">
      <w:pPr>
        <w:spacing w:line="360" w:lineRule="auto"/>
        <w:jc w:val="right"/>
        <w:rPr>
          <w:rFonts w:ascii="Lora" w:cs="Lora" w:eastAsia="Lora" w:hAnsi="Lora"/>
          <w:color w:val="0f3566"/>
          <w:sz w:val="16"/>
          <w:szCs w:val="16"/>
        </w:rPr>
      </w:pPr>
      <w:r w:rsidDel="00000000" w:rsidR="00000000" w:rsidRPr="00000000">
        <w:rPr>
          <w:rFonts w:ascii="Lora" w:cs="Lora" w:eastAsia="Lora" w:hAnsi="Lora"/>
          <w:color w:val="0f3566"/>
          <w:sz w:val="16"/>
          <w:szCs w:val="16"/>
          <w:rtl w:val="0"/>
        </w:rPr>
        <w:t xml:space="preserve">kstasiuk-krajewska@swps.edu.pl</w:t>
      </w:r>
    </w:p>
    <w:p w:rsidR="00000000" w:rsidDel="00000000" w:rsidP="00000000" w:rsidRDefault="00000000" w:rsidRPr="00000000" w14:paraId="00000017">
      <w:pPr>
        <w:spacing w:line="360" w:lineRule="auto"/>
        <w:jc w:val="right"/>
        <w:rPr>
          <w:rFonts w:ascii="Lora" w:cs="Lora" w:eastAsia="Lora" w:hAnsi="Lora"/>
          <w:color w:val="0f3566"/>
          <w:sz w:val="16"/>
          <w:szCs w:val="16"/>
        </w:rPr>
      </w:pPr>
      <w:r w:rsidDel="00000000" w:rsidR="00000000" w:rsidRPr="00000000">
        <w:rPr>
          <w:rFonts w:ascii="Lora" w:cs="Lora" w:eastAsia="Lora" w:hAnsi="Lora"/>
          <w:color w:val="0f3566"/>
          <w:sz w:val="16"/>
          <w:szCs w:val="16"/>
          <w:rtl w:val="0"/>
        </w:rPr>
        <w:t xml:space="preserve">tel.: 608364554</w:t>
      </w:r>
    </w:p>
    <w:p w:rsidR="00000000" w:rsidDel="00000000" w:rsidP="00000000" w:rsidRDefault="00000000" w:rsidRPr="00000000" w14:paraId="00000018">
      <w:pPr>
        <w:spacing w:line="360" w:lineRule="auto"/>
        <w:jc w:val="right"/>
        <w:rPr>
          <w:rFonts w:ascii="Lora" w:cs="Lora" w:eastAsia="Lora" w:hAnsi="Lora"/>
          <w:color w:val="0f356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48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</w:rPr>
        <w:drawing>
          <wp:inline distB="0" distT="0" distL="0" distR="0">
            <wp:extent cx="5731200" cy="711200"/>
            <wp:effectExtent b="0" l="0" r="0" t="0"/>
            <wp:docPr descr="A black text on a white background&#10;&#10;Description automatically generated" id="1" name="image3.png"/>
            <a:graphic>
              <a:graphicData uri="http://schemas.openxmlformats.org/drawingml/2006/picture">
                <pic:pic>
                  <pic:nvPicPr>
                    <pic:cNvPr descr="A black text on a white background&#10;&#10;Description automatically generated" id="0" name="image3.pn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711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48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</w:rPr>
        <w:drawing>
          <wp:inline distB="114300" distT="114300" distL="114300" distR="114300">
            <wp:extent cx="5731200" cy="711200"/>
            <wp:effectExtent b="0" l="0" r="0" t="0"/>
            <wp:docPr id="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2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711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48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</w:rPr>
        <w:drawing>
          <wp:inline distB="114300" distT="114300" distL="114300" distR="114300">
            <wp:extent cx="5731200" cy="711200"/>
            <wp:effectExtent b="0" l="0" r="0" t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2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711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48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48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                                                                                    </w:t>
      </w:r>
      <w:r w:rsidDel="00000000" w:rsidR="00000000" w:rsidRPr="00000000">
        <w:rPr>
          <w:rFonts w:ascii="Calibri" w:cs="Calibri" w:eastAsia="Calibri" w:hAnsi="Calibri"/>
          <w:sz w:val="24"/>
          <w:szCs w:val="24"/>
        </w:rPr>
        <w:drawing>
          <wp:inline distB="114300" distT="114300" distL="114300" distR="114300">
            <wp:extent cx="942975" cy="628650"/>
            <wp:effectExtent b="0" l="0" r="0" t="0"/>
            <wp:docPr id="4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2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6286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48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480" w:line="36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Projekt jest współfinansowany przez Unię Europejską w ramach konkursu DIGITAL-2023-DEPLOY-04, projekt 101158609. Treść niniejszego komunikatu prasowego odzwierciedla jedynie poglądy niezależnego konsorcjum CEDMO, w związku z czym Komisja Europejska nie ponosi odpowiedzialności za jakiekolwiek wykorzystanie zawartych w nim informacji.    </w:t>
      </w:r>
      <w:r w:rsidDel="00000000" w:rsidR="00000000" w:rsidRPr="00000000">
        <w:rPr>
          <w:rtl w:val="0"/>
        </w:rPr>
      </w:r>
    </w:p>
    <w:sectPr>
      <w:headerReference r:id="rId2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ora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Helvetica Neue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spacing w:line="240" w:lineRule="auto"/>
      <w:rPr/>
    </w:pPr>
    <w:r w:rsidDel="00000000" w:rsidR="00000000" w:rsidRPr="00000000">
      <w:rPr>
        <w:rFonts w:ascii="Calibri" w:cs="Calibri" w:eastAsia="Calibri" w:hAnsi="Calibri"/>
        <w:sz w:val="24"/>
        <w:szCs w:val="24"/>
      </w:rPr>
      <w:drawing>
        <wp:inline distB="0" distT="0" distL="0" distR="0">
          <wp:extent cx="1382220" cy="421986"/>
          <wp:effectExtent b="0" l="0" r="0" t="0"/>
          <wp:docPr id="2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82220" cy="42198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Calibri" w:cs="Calibri" w:eastAsia="Calibri" w:hAnsi="Calibri"/>
        <w:sz w:val="24"/>
        <w:szCs w:val="24"/>
        <w:rtl w:val="0"/>
      </w:rPr>
      <w:t xml:space="preserve">                                                                                                      </w:t>
    </w:r>
    <w:r w:rsidDel="00000000" w:rsidR="00000000" w:rsidRPr="00000000">
      <w:rPr>
        <w:rFonts w:ascii="Calibri" w:cs="Calibri" w:eastAsia="Calibri" w:hAnsi="Calibri"/>
        <w:color w:val="191a3a"/>
        <w:highlight w:val="white"/>
        <w:rtl w:val="0"/>
      </w:rPr>
      <w:t xml:space="preserve">cedmohub.eu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edmo.eu/" TargetMode="External"/><Relationship Id="rId22" Type="http://schemas.openxmlformats.org/officeDocument/2006/relationships/image" Target="media/image3.png"/><Relationship Id="rId21" Type="http://schemas.openxmlformats.org/officeDocument/2006/relationships/hyperlink" Target="https://edmo.eu/about-us/edmo-hubs/" TargetMode="External"/><Relationship Id="rId24" Type="http://schemas.openxmlformats.org/officeDocument/2006/relationships/image" Target="media/image1.png"/><Relationship Id="rId23" Type="http://schemas.openxmlformats.org/officeDocument/2006/relationships/image" Target="media/image4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emagog.pl" TargetMode="External"/><Relationship Id="rId26" Type="http://schemas.openxmlformats.org/officeDocument/2006/relationships/header" Target="header1.xml"/><Relationship Id="rId25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hyperlink" Target="https://cedmohub.eu/" TargetMode="External"/><Relationship Id="rId7" Type="http://schemas.openxmlformats.org/officeDocument/2006/relationships/hyperlink" Target="https://cuni.cz/UK-1.html" TargetMode="External"/><Relationship Id="rId8" Type="http://schemas.openxmlformats.org/officeDocument/2006/relationships/hyperlink" Target="https://swps.pl/" TargetMode="External"/><Relationship Id="rId11" Type="http://schemas.openxmlformats.org/officeDocument/2006/relationships/hyperlink" Target="https://demagog.sk/" TargetMode="External"/><Relationship Id="rId10" Type="http://schemas.openxmlformats.org/officeDocument/2006/relationships/hyperlink" Target="https://demagog.cz/" TargetMode="External"/><Relationship Id="rId13" Type="http://schemas.openxmlformats.org/officeDocument/2006/relationships/hyperlink" Target="https://www.cvut.cz/" TargetMode="External"/><Relationship Id="rId12" Type="http://schemas.openxmlformats.org/officeDocument/2006/relationships/hyperlink" Target="https://sprawdzam.afp.com/" TargetMode="External"/><Relationship Id="rId15" Type="http://schemas.openxmlformats.org/officeDocument/2006/relationships/hyperlink" Target="https://www.atc.gr/" TargetMode="External"/><Relationship Id="rId14" Type="http://schemas.openxmlformats.org/officeDocument/2006/relationships/hyperlink" Target="https://kinit.sk/" TargetMode="External"/><Relationship Id="rId17" Type="http://schemas.openxmlformats.org/officeDocument/2006/relationships/hyperlink" Target="https://www.globsec.org/" TargetMode="External"/><Relationship Id="rId16" Type="http://schemas.openxmlformats.org/officeDocument/2006/relationships/hyperlink" Target="https://www.nask.pl/" TargetMode="External"/><Relationship Id="rId19" Type="http://schemas.openxmlformats.org/officeDocument/2006/relationships/hyperlink" Target="https://www.seesame.com/" TargetMode="External"/><Relationship Id="rId18" Type="http://schemas.openxmlformats.org/officeDocument/2006/relationships/hyperlink" Target="https://www.globsec.org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HelveticaNeue-italic.ttf"/><Relationship Id="rId10" Type="http://schemas.openxmlformats.org/officeDocument/2006/relationships/font" Target="fonts/HelveticaNeue-bold.ttf"/><Relationship Id="rId12" Type="http://schemas.openxmlformats.org/officeDocument/2006/relationships/font" Target="fonts/HelveticaNeue-boldItalic.ttf"/><Relationship Id="rId9" Type="http://schemas.openxmlformats.org/officeDocument/2006/relationships/font" Target="fonts/HelveticaNeue-regular.ttf"/><Relationship Id="rId5" Type="http://schemas.openxmlformats.org/officeDocument/2006/relationships/font" Target="fonts/Lora-regular.ttf"/><Relationship Id="rId6" Type="http://schemas.openxmlformats.org/officeDocument/2006/relationships/font" Target="fonts/Lora-bold.ttf"/><Relationship Id="rId7" Type="http://schemas.openxmlformats.org/officeDocument/2006/relationships/font" Target="fonts/Lora-italic.ttf"/><Relationship Id="rId8" Type="http://schemas.openxmlformats.org/officeDocument/2006/relationships/font" Target="fonts/Lora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