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2D4562" w:rsidRDefault="00C92F96">
      <w:pPr>
        <w:spacing w:before="240" w:line="360" w:lineRule="auto"/>
        <w:jc w:val="both"/>
        <w:rPr>
          <w:b/>
        </w:rPr>
      </w:pPr>
      <w:r>
        <w:rPr>
          <w:b/>
        </w:rPr>
        <w:t>Czy sezonowa zmiana czasu jest zdrowa?</w:t>
      </w:r>
    </w:p>
    <w:p w14:paraId="68AD7644" w14:textId="716B216A" w:rsidR="00321819" w:rsidRPr="00321819" w:rsidRDefault="00321819">
      <w:pPr>
        <w:spacing w:before="240" w:line="360" w:lineRule="auto"/>
        <w:jc w:val="both"/>
        <w:rPr>
          <w:b/>
        </w:rPr>
      </w:pPr>
      <w:r w:rsidRPr="00321819">
        <w:rPr>
          <w:b/>
        </w:rPr>
        <w:t xml:space="preserve">Dwukrotna zmiana czasu w ciągu roku powoduje wiele negatywnych konsekwencji dla naszego zdrowia. </w:t>
      </w:r>
      <w:r w:rsidR="0013749C">
        <w:rPr>
          <w:b/>
        </w:rPr>
        <w:t>Unia Europejska</w:t>
      </w:r>
      <w:r w:rsidRPr="00321819">
        <w:rPr>
          <w:b/>
        </w:rPr>
        <w:t xml:space="preserve"> chce znieść konieczność przestawiania zegarków w krajach </w:t>
      </w:r>
      <w:r w:rsidR="0013749C">
        <w:rPr>
          <w:b/>
        </w:rPr>
        <w:t>członkowskich</w:t>
      </w:r>
      <w:r w:rsidRPr="00321819">
        <w:rPr>
          <w:b/>
        </w:rPr>
        <w:t>, co ma swoje naukowe uzasadnienie. Jak wiele korzyści przyniesie ujednolicenie czasu – tłumaczy prof. Irena Iskra-Golec, psycholożka z Wydziału Psychologii i Prawa w Poznaniu Uniwersytetu SWPS.</w:t>
      </w:r>
    </w:p>
    <w:p w14:paraId="00000003" w14:textId="3DC0183C" w:rsidR="002D4562" w:rsidRDefault="00C92F96">
      <w:pPr>
        <w:spacing w:before="240" w:line="360" w:lineRule="auto"/>
        <w:jc w:val="both"/>
      </w:pPr>
      <w:r>
        <w:t>W Polsce i w innych krajach Unii Europejskiej w ostatnią niedzielę marca przestawia się zegarki o godzinę do przodu, z godziny 02:00 na 03:00, przechodząc na czas letni</w:t>
      </w:r>
      <w:r>
        <w:rPr>
          <w:vertAlign w:val="superscript"/>
        </w:rPr>
        <w:footnoteReference w:id="1"/>
      </w:r>
      <w:r>
        <w:t>. W 2018 roku podczas otwartych konsultacji publicznych w krajach członkowskich UE 84% respondentów opowiedziało się przeciw zmianom czasu. W efekcie przygotowano projekt dyrektywy</w:t>
      </w:r>
      <w:r>
        <w:rPr>
          <w:vertAlign w:val="superscript"/>
        </w:rPr>
        <w:footnoteReference w:id="2"/>
      </w:r>
      <w:r>
        <w:t xml:space="preserve"> w sprawie rezygnacji ze zmian czasu w krajach unijnych. Jest on nadal procedowany </w:t>
      </w:r>
      <w:r w:rsidR="00D20FF7">
        <w:t>w Unii Europejskiej</w:t>
      </w:r>
      <w:r>
        <w:t xml:space="preserve">. </w:t>
      </w:r>
    </w:p>
    <w:p w14:paraId="00000004" w14:textId="77777777" w:rsidR="002D4562" w:rsidRDefault="00C92F96">
      <w:pPr>
        <w:spacing w:before="240" w:line="360" w:lineRule="auto"/>
        <w:jc w:val="both"/>
      </w:pPr>
      <w:r>
        <w:rPr>
          <w:b/>
        </w:rPr>
        <w:t xml:space="preserve">Trzy czasy w tym samym czasie </w:t>
      </w:r>
      <w:r>
        <w:rPr>
          <w:b/>
        </w:rPr>
        <w:br/>
      </w:r>
      <w:r>
        <w:t xml:space="preserve">Aby zrozumieć zasadność tytułowego pytania o aspekt zdrowotny zmiany czasu, należy zacząć od zastanowienia się nad pojęciem czasu, jego rodzajami oraz wzajemnymi relacjami między nimi. Chodzi tu o pojęcia, takie jak: czas słoneczny, czas urzędowy (zegarowy) oraz czas biologiczny. Czas słoneczny (tzw. czas naturalny) jest wyznaczany względem słońca. Wszyscy wiedzą, że ziemia krążąc wokół słońca, obraca się wokół własnej osi ze wschodu na zachód o jeden stopień co 4 minuty, o 15 stopni w ciągu jednej godziny i o 360 stopni w ciągu 24 godzin. Słońce osiąga zatem najwyższe położenie o godzinie 12.00 w południe, co godzinę kolejno nad każdym południkiem ziemskim. Słońce wschodzi i zachodzi wcześniej w miejscach położonych na wschodzie w porównaniu do miejsc położonych na zachodzie. Nie zawsze uświadamiamy sobie do końca, że czas słoneczny różni się nawet pomiędzy relatywnie niedalekimi miejscami na Ziemi. Przykładowo w Polsce maksymalna różnica czasu słonecznego wynosi około 40 minut i występuje między najdalej wysuniętym na zachód Osinowem Dolnym w zakolu Odry (na zachód od Cedyni), a najdalej wysuniętym na wschód miejscem w Zosinie w zakolu Bugu (na wschód od Hrubieszowa). Nad </w:t>
      </w:r>
      <w:proofErr w:type="spellStart"/>
      <w:r>
        <w:t>Zosiną</w:t>
      </w:r>
      <w:proofErr w:type="spellEnd"/>
      <w:r>
        <w:t xml:space="preserve"> słońce wschodzi i zachodzi o około 40 minut wcześniej niż nad Osinowem. </w:t>
      </w:r>
    </w:p>
    <w:p w14:paraId="00000005" w14:textId="77777777" w:rsidR="002D4562" w:rsidRDefault="00C92F96">
      <w:pPr>
        <w:spacing w:before="240" w:line="360" w:lineRule="auto"/>
        <w:jc w:val="both"/>
      </w:pPr>
      <w:r>
        <w:t>Ze względu na zróżnicowanie czasu słonecznego w zależności od położenia geograficznego konieczne jest terytorialne ujednolicenie obowiązującego czasu. To czas urzędowy</w:t>
      </w:r>
      <w:r>
        <w:rPr>
          <w:b/>
        </w:rPr>
        <w:t xml:space="preserve"> </w:t>
      </w:r>
      <w:r>
        <w:t xml:space="preserve">zwany </w:t>
      </w:r>
      <w:r>
        <w:lastRenderedPageBreak/>
        <w:t>także zegarowym czy też umownym. W Polsce określa go wspomniana wcześniej ustawa</w:t>
      </w:r>
      <w:r>
        <w:rPr>
          <w:vertAlign w:val="superscript"/>
        </w:rPr>
        <w:footnoteReference w:id="3"/>
      </w:r>
      <w:r>
        <w:t xml:space="preserve">, która uznaje za czas oficjalnie przyjęty w Polsce czas środkowoeuropejski (CSE) czyli czas południka leżącego 15° na wschód od Greenwich. </w:t>
      </w:r>
    </w:p>
    <w:p w14:paraId="00000006" w14:textId="77777777" w:rsidR="002D4562" w:rsidRDefault="00C92F96">
      <w:pPr>
        <w:spacing w:before="240" w:line="360" w:lineRule="auto"/>
        <w:jc w:val="both"/>
      </w:pPr>
      <w:r>
        <w:t xml:space="preserve">Czas biologiczny zaś wyznaczany jest przez okołodobowy zegar biologiczny, który wykształcił się w procesie ewolucji, przystosowując się do zmieniających się rytmicznie cykli światło-ciemność naturalnego środowiska ziemskiego. Zegar ten reguluje okołodobową, rytmiczną zmienność intensywności przebiegu wszystkich procesów życiowych organizmów żywych (włącznie z człowiekiem) począwszy od ekspresji genów do najbardziej złożonych </w:t>
      </w:r>
      <w:proofErr w:type="spellStart"/>
      <w:r>
        <w:t>zachowań</w:t>
      </w:r>
      <w:proofErr w:type="spellEnd"/>
      <w:r>
        <w:t>. Zegar biologiczny nastawiany (synchronizowany) jest przez światło słoneczne (cykl światło-ciemność), czyli czas słoneczny. Naturalny cykl światło-ciemność, wyznaczany przez obrót Ziemi wokół własnej osi skutkujący cyklicznością dnia i nocy, nastawia zegar biologiczny człowieka. To właśnie według czasu biologicznego, nie urzędowego, działa nasz organizm.</w:t>
      </w:r>
    </w:p>
    <w:p w14:paraId="00000007" w14:textId="77777777" w:rsidR="002D4562" w:rsidRDefault="00C92F96">
      <w:pPr>
        <w:spacing w:before="240" w:line="360" w:lineRule="auto"/>
        <w:jc w:val="both"/>
      </w:pPr>
      <w:r>
        <w:rPr>
          <w:b/>
        </w:rPr>
        <w:t>Czy zmiany są korzystne?</w:t>
      </w:r>
      <w:r>
        <w:rPr>
          <w:b/>
        </w:rPr>
        <w:br/>
      </w:r>
      <w:r>
        <w:t>Dwukrotna zmiana wskazań zegarów w ciągu roku powoduje wiele niekorzystnych konsekwencji wynikających z zaburzenia związków pomiędzy czasem słonecznym, zegarowym i biologicznym człowieka</w:t>
      </w:r>
      <w:r>
        <w:rPr>
          <w:vertAlign w:val="superscript"/>
        </w:rPr>
        <w:footnoteReference w:id="4"/>
      </w:r>
      <w:r>
        <w:t>. Oznacza to, że zmiany zwiększające różnice pomiędzy czasem urzędowym i słonecznym (szczególnie przy przejściu z czasu zimowego na letni) zwiększają różnicę pomiędzy tym, co człowiek musi wykonać ze względu na czas urzędowy (np. iść do pracy rano wcześniej o godzinę), a tym, co jest w stanie wykonać ze względu na swój czas biologiczny (np. obudzić się rano wcześniej o godzinę). Zanim nastąpi przystosowanie zegara biologicznego do nowego czasu, które u większości ludzi trwa zwykle do tygodnia, występuje wiele niekorzystnych konsekwencji dla szeroko rozumianego dobrostanu człowieka. Badania pokazują, że krótkoterminowe konsekwencje zmiany czasu, zwłaszcza z zimowego na letni, to krótszy sen i wzrost liczby wypadków w pracy, pogorszenie sprawności działania</w:t>
      </w:r>
      <w:r>
        <w:rPr>
          <w:vertAlign w:val="superscript"/>
        </w:rPr>
        <w:footnoteReference w:id="5"/>
      </w:r>
      <w:r>
        <w:t>, pogorszenie zdrowia – w tym wzrost częstości ataków serca</w:t>
      </w:r>
      <w:r>
        <w:rPr>
          <w:vertAlign w:val="superscript"/>
        </w:rPr>
        <w:footnoteReference w:id="6"/>
      </w:r>
      <w:r>
        <w:t>, zwiększenie liczby wypadków samochodowych</w:t>
      </w:r>
      <w:r>
        <w:rPr>
          <w:vertAlign w:val="superscript"/>
        </w:rPr>
        <w:footnoteReference w:id="7"/>
      </w:r>
      <w:r>
        <w:t xml:space="preserve">. Co do skutków długoterminowych to wykazano, że różnica pomiędzy czasem urzędowym a biologicznym (zwłaszcza przesuwanie pór budzenia się na wcześniejsze) wiąże się w dłuższej perspektywie z pogorszeniem </w:t>
      </w:r>
      <w:r>
        <w:lastRenderedPageBreak/>
        <w:t>zdrowia</w:t>
      </w:r>
      <w:r>
        <w:rPr>
          <w:vertAlign w:val="superscript"/>
        </w:rPr>
        <w:footnoteReference w:id="8"/>
      </w:r>
      <w:r>
        <w:t>, obniżeniem średniej długości życia</w:t>
      </w:r>
      <w:r>
        <w:rPr>
          <w:vertAlign w:val="superscript"/>
        </w:rPr>
        <w:footnoteReference w:id="9"/>
      </w:r>
      <w:r>
        <w:t>, skróceniem snu</w:t>
      </w:r>
      <w:r>
        <w:rPr>
          <w:vertAlign w:val="superscript"/>
        </w:rPr>
        <w:footnoteReference w:id="10"/>
      </w:r>
      <w:r>
        <w:t>, obniżeniem osiągnięć akademickich</w:t>
      </w:r>
      <w:r>
        <w:rPr>
          <w:vertAlign w:val="superscript"/>
        </w:rPr>
        <w:footnoteReference w:id="11"/>
      </w:r>
      <w:r>
        <w:t xml:space="preserve"> i przyczynia się do zaburzeń snu, których koszt dla społeczeństwa oceniany jest na 2% produktu krajowego brutto</w:t>
      </w:r>
      <w:r>
        <w:rPr>
          <w:vertAlign w:val="superscript"/>
        </w:rPr>
        <w:footnoteReference w:id="12"/>
      </w:r>
      <w:r>
        <w:t>.</w:t>
      </w:r>
    </w:p>
    <w:p w14:paraId="00000008" w14:textId="7ECEA74E" w:rsidR="002D4562" w:rsidRDefault="00C92F96">
      <w:pPr>
        <w:spacing w:before="240" w:line="360" w:lineRule="auto"/>
        <w:jc w:val="both"/>
      </w:pPr>
      <w:r>
        <w:t xml:space="preserve">Okazało się zatem, że zmiana czasu wprowadzona kiedyś ze względów oszczędnościowych, nie tylko nie doprowadziła do zakładanego efektu, ale wywołała wiele niekorzystnych skutków zdrowotnych. Oficjalne stanowisko ekspertów z zakresu chronobiologii zaleca, aby każde państwo przyjęło stały standardowy czas urzędowy, który zbliżony jest w największym stopniu do lokalnego czasu słonecznego. Tak więc dyrektywa </w:t>
      </w:r>
      <w:bookmarkStart w:id="0" w:name="_GoBack"/>
      <w:bookmarkEnd w:id="0"/>
      <w:r>
        <w:t>znosząca zmianę czasu w krajach UE nie tylko wyraża subiektywne opinie, ale także ma swoje naukowe uzasadnienie.</w:t>
      </w:r>
    </w:p>
    <w:p w14:paraId="00000009" w14:textId="77777777" w:rsidR="002D4562" w:rsidRDefault="00C92F96">
      <w:pPr>
        <w:spacing w:before="240" w:line="360" w:lineRule="auto"/>
        <w:jc w:val="both"/>
        <w:rPr>
          <w:i/>
        </w:rPr>
      </w:pPr>
      <w:r>
        <w:rPr>
          <w:i/>
        </w:rPr>
        <w:t>prof. Irena Iskra-Golec, psycholog, Uniwersytet SWPS w Poznaniu</w:t>
      </w:r>
    </w:p>
    <w:p w14:paraId="0000000A" w14:textId="77777777" w:rsidR="002D4562" w:rsidRDefault="00C92F96">
      <w:pPr>
        <w:spacing w:before="240" w:line="360" w:lineRule="auto"/>
        <w:jc w:val="both"/>
      </w:pPr>
      <w:r>
        <w:t xml:space="preserve"> </w:t>
      </w:r>
    </w:p>
    <w:p w14:paraId="0000000B" w14:textId="77777777" w:rsidR="002D4562" w:rsidRDefault="002D4562">
      <w:pPr>
        <w:spacing w:before="240" w:line="360" w:lineRule="auto"/>
        <w:jc w:val="both"/>
      </w:pPr>
    </w:p>
    <w:p w14:paraId="0000000C" w14:textId="77777777" w:rsidR="002D4562" w:rsidRDefault="002D4562">
      <w:pPr>
        <w:spacing w:before="240" w:line="360" w:lineRule="auto"/>
        <w:jc w:val="both"/>
      </w:pPr>
    </w:p>
    <w:p w14:paraId="0000000D" w14:textId="77777777" w:rsidR="002D4562" w:rsidRDefault="002D4562">
      <w:pPr>
        <w:spacing w:before="240" w:line="360" w:lineRule="auto"/>
        <w:jc w:val="both"/>
      </w:pPr>
    </w:p>
    <w:p w14:paraId="0000000E" w14:textId="77777777" w:rsidR="002D4562" w:rsidRDefault="002D4562">
      <w:pPr>
        <w:spacing w:line="360" w:lineRule="auto"/>
        <w:jc w:val="both"/>
      </w:pPr>
    </w:p>
    <w:sectPr w:rsidR="002D4562">
      <w:headerReference w:type="even" r:id="rId6"/>
      <w:headerReference w:type="default" r:id="rId7"/>
      <w:footerReference w:type="even" r:id="rId8"/>
      <w:footerReference w:type="default" r:id="rId9"/>
      <w:headerReference w:type="first" r:id="rId10"/>
      <w:footerReference w:type="first" r:id="rId11"/>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A6F0C1" w14:textId="77777777" w:rsidR="00626659" w:rsidRDefault="00626659">
      <w:pPr>
        <w:spacing w:line="240" w:lineRule="auto"/>
      </w:pPr>
      <w:r>
        <w:separator/>
      </w:r>
    </w:p>
  </w:endnote>
  <w:endnote w:type="continuationSeparator" w:id="0">
    <w:p w14:paraId="41FBD00F" w14:textId="77777777" w:rsidR="00626659" w:rsidRDefault="006266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B009B" w14:textId="77777777" w:rsidR="00815525" w:rsidRDefault="0081552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75CBF" w14:textId="77777777" w:rsidR="00815525" w:rsidRDefault="0081552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9F51B4" w14:textId="77777777" w:rsidR="00815525" w:rsidRDefault="008155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FE7A6" w14:textId="77777777" w:rsidR="00626659" w:rsidRDefault="00626659">
      <w:pPr>
        <w:spacing w:line="240" w:lineRule="auto"/>
      </w:pPr>
      <w:r>
        <w:separator/>
      </w:r>
    </w:p>
  </w:footnote>
  <w:footnote w:type="continuationSeparator" w:id="0">
    <w:p w14:paraId="22181622" w14:textId="77777777" w:rsidR="00626659" w:rsidRDefault="00626659">
      <w:pPr>
        <w:spacing w:line="240" w:lineRule="auto"/>
      </w:pPr>
      <w:r>
        <w:continuationSeparator/>
      </w:r>
    </w:p>
  </w:footnote>
  <w:footnote w:id="1">
    <w:p w14:paraId="0000000F" w14:textId="77777777" w:rsidR="002D4562" w:rsidRDefault="00C92F96">
      <w:pPr>
        <w:spacing w:line="240" w:lineRule="auto"/>
        <w:rPr>
          <w:sz w:val="18"/>
          <w:szCs w:val="18"/>
        </w:rPr>
      </w:pPr>
      <w:r>
        <w:rPr>
          <w:vertAlign w:val="superscript"/>
        </w:rPr>
        <w:footnoteRef/>
      </w:r>
      <w:r>
        <w:rPr>
          <w:sz w:val="20"/>
          <w:szCs w:val="20"/>
        </w:rPr>
        <w:t xml:space="preserve"> </w:t>
      </w:r>
      <w:r>
        <w:rPr>
          <w:sz w:val="18"/>
          <w:szCs w:val="18"/>
        </w:rPr>
        <w:t>Odbywa się to na podstawie art. 3 ustawy z dnia 10 grudnia 2003 r. o czasie urzędowym na obszarze Rzeczypospolitej Polskiej (Dz. U. z 2004 r. Nr 16, poz. 144).</w:t>
      </w:r>
    </w:p>
  </w:footnote>
  <w:footnote w:id="2">
    <w:p w14:paraId="00000010" w14:textId="77777777" w:rsidR="002D4562" w:rsidRDefault="00C92F96">
      <w:pPr>
        <w:spacing w:line="240" w:lineRule="auto"/>
        <w:rPr>
          <w:sz w:val="18"/>
          <w:szCs w:val="18"/>
        </w:rPr>
      </w:pPr>
      <w:r>
        <w:rPr>
          <w:vertAlign w:val="superscript"/>
        </w:rPr>
        <w:footnoteRef/>
      </w:r>
      <w:r>
        <w:rPr>
          <w:sz w:val="20"/>
          <w:szCs w:val="20"/>
        </w:rPr>
        <w:t xml:space="preserve"> </w:t>
      </w:r>
      <w:r>
        <w:rPr>
          <w:sz w:val="18"/>
          <w:szCs w:val="18"/>
        </w:rPr>
        <w:t xml:space="preserve">COM/2018/639 (COM(2018)639), </w:t>
      </w:r>
      <w:hyperlink r:id="rId1">
        <w:r>
          <w:rPr>
            <w:color w:val="1155CC"/>
            <w:sz w:val="18"/>
            <w:szCs w:val="18"/>
            <w:u w:val="single"/>
          </w:rPr>
          <w:t>https://eur-lex.europa.eu/legal-content/PL/TXT/?uri=CELEX%3A52018PC0639</w:t>
        </w:r>
      </w:hyperlink>
    </w:p>
  </w:footnote>
  <w:footnote w:id="3">
    <w:p w14:paraId="00000011" w14:textId="77777777" w:rsidR="002D4562" w:rsidRDefault="00C92F96">
      <w:pPr>
        <w:spacing w:line="240" w:lineRule="auto"/>
        <w:rPr>
          <w:sz w:val="18"/>
          <w:szCs w:val="18"/>
        </w:rPr>
      </w:pPr>
      <w:r>
        <w:rPr>
          <w:vertAlign w:val="superscript"/>
        </w:rPr>
        <w:footnoteRef/>
      </w:r>
      <w:r>
        <w:rPr>
          <w:sz w:val="20"/>
          <w:szCs w:val="20"/>
        </w:rPr>
        <w:t xml:space="preserve"> </w:t>
      </w:r>
      <w:r>
        <w:rPr>
          <w:sz w:val="18"/>
          <w:szCs w:val="18"/>
        </w:rPr>
        <w:t>Art. 3 ustawy z dnia 10 grudnia 2003 r. o czasie urzędowym na obszarze Rzeczypospolitej Polskiej (Dz. U. z 2004 r. Nr 16, poz. 144).</w:t>
      </w:r>
    </w:p>
  </w:footnote>
  <w:footnote w:id="4">
    <w:p w14:paraId="00000012" w14:textId="77777777" w:rsidR="002D4562" w:rsidRDefault="00C92F96">
      <w:pPr>
        <w:spacing w:line="240" w:lineRule="auto"/>
        <w:rPr>
          <w:sz w:val="18"/>
          <w:szCs w:val="18"/>
        </w:rPr>
      </w:pPr>
      <w:r>
        <w:rPr>
          <w:vertAlign w:val="superscript"/>
        </w:rPr>
        <w:footnoteRef/>
      </w:r>
      <w:r>
        <w:rPr>
          <w:sz w:val="20"/>
          <w:szCs w:val="20"/>
        </w:rPr>
        <w:t xml:space="preserve"> </w:t>
      </w:r>
      <w:proofErr w:type="spellStart"/>
      <w:r>
        <w:rPr>
          <w:sz w:val="18"/>
          <w:szCs w:val="18"/>
        </w:rPr>
        <w:t>Roenneberg</w:t>
      </w:r>
      <w:proofErr w:type="spellEnd"/>
      <w:r>
        <w:rPr>
          <w:sz w:val="18"/>
          <w:szCs w:val="18"/>
        </w:rPr>
        <w:t xml:space="preserve">, T, </w:t>
      </w:r>
      <w:r>
        <w:rPr>
          <w:i/>
          <w:sz w:val="18"/>
          <w:szCs w:val="18"/>
        </w:rPr>
        <w:t xml:space="preserve">The </w:t>
      </w:r>
      <w:proofErr w:type="spellStart"/>
      <w:r>
        <w:rPr>
          <w:i/>
          <w:sz w:val="18"/>
          <w:szCs w:val="18"/>
        </w:rPr>
        <w:t>Society</w:t>
      </w:r>
      <w:proofErr w:type="spellEnd"/>
      <w:r>
        <w:rPr>
          <w:i/>
          <w:sz w:val="18"/>
          <w:szCs w:val="18"/>
        </w:rPr>
        <w:t xml:space="preserve"> for </w:t>
      </w:r>
      <w:proofErr w:type="spellStart"/>
      <w:r>
        <w:rPr>
          <w:i/>
          <w:sz w:val="18"/>
          <w:szCs w:val="18"/>
        </w:rPr>
        <w:t>Research</w:t>
      </w:r>
      <w:proofErr w:type="spellEnd"/>
      <w:r>
        <w:rPr>
          <w:i/>
          <w:sz w:val="18"/>
          <w:szCs w:val="18"/>
        </w:rPr>
        <w:t xml:space="preserve"> on </w:t>
      </w:r>
      <w:proofErr w:type="spellStart"/>
      <w:r>
        <w:rPr>
          <w:i/>
          <w:sz w:val="18"/>
          <w:szCs w:val="18"/>
        </w:rPr>
        <w:t>Biological</w:t>
      </w:r>
      <w:proofErr w:type="spellEnd"/>
      <w:r>
        <w:rPr>
          <w:i/>
          <w:sz w:val="18"/>
          <w:szCs w:val="18"/>
        </w:rPr>
        <w:t xml:space="preserve"> </w:t>
      </w:r>
      <w:proofErr w:type="spellStart"/>
      <w:r>
        <w:rPr>
          <w:i/>
          <w:sz w:val="18"/>
          <w:szCs w:val="18"/>
        </w:rPr>
        <w:t>Rhythms</w:t>
      </w:r>
      <w:proofErr w:type="spellEnd"/>
      <w:r>
        <w:rPr>
          <w:i/>
          <w:sz w:val="18"/>
          <w:szCs w:val="18"/>
        </w:rPr>
        <w:t>, SRBR</w:t>
      </w:r>
      <w:r>
        <w:rPr>
          <w:sz w:val="18"/>
          <w:szCs w:val="18"/>
        </w:rPr>
        <w:t>, 2019.</w:t>
      </w:r>
    </w:p>
  </w:footnote>
  <w:footnote w:id="5">
    <w:p w14:paraId="00000013" w14:textId="77777777" w:rsidR="002D4562" w:rsidRDefault="00C92F96">
      <w:pPr>
        <w:spacing w:line="240" w:lineRule="auto"/>
        <w:rPr>
          <w:sz w:val="18"/>
          <w:szCs w:val="18"/>
        </w:rPr>
      </w:pPr>
      <w:r>
        <w:rPr>
          <w:vertAlign w:val="superscript"/>
        </w:rPr>
        <w:footnoteRef/>
      </w:r>
      <w:r>
        <w:rPr>
          <w:sz w:val="20"/>
          <w:szCs w:val="20"/>
        </w:rPr>
        <w:t xml:space="preserve"> </w:t>
      </w:r>
      <w:proofErr w:type="spellStart"/>
      <w:r>
        <w:rPr>
          <w:sz w:val="18"/>
          <w:szCs w:val="18"/>
        </w:rPr>
        <w:t>Gaski</w:t>
      </w:r>
      <w:proofErr w:type="spellEnd"/>
      <w:r>
        <w:rPr>
          <w:sz w:val="18"/>
          <w:szCs w:val="18"/>
        </w:rPr>
        <w:t xml:space="preserve">, J. F., </w:t>
      </w:r>
      <w:proofErr w:type="spellStart"/>
      <w:r>
        <w:rPr>
          <w:sz w:val="18"/>
          <w:szCs w:val="18"/>
        </w:rPr>
        <w:t>Sagarin</w:t>
      </w:r>
      <w:proofErr w:type="spellEnd"/>
      <w:r>
        <w:rPr>
          <w:sz w:val="18"/>
          <w:szCs w:val="18"/>
        </w:rPr>
        <w:t xml:space="preserve">, J., </w:t>
      </w:r>
      <w:proofErr w:type="spellStart"/>
      <w:r>
        <w:rPr>
          <w:i/>
          <w:sz w:val="18"/>
          <w:szCs w:val="18"/>
        </w:rPr>
        <w:t>Detrimental</w:t>
      </w:r>
      <w:proofErr w:type="spellEnd"/>
      <w:r>
        <w:rPr>
          <w:i/>
          <w:sz w:val="18"/>
          <w:szCs w:val="18"/>
        </w:rPr>
        <w:t xml:space="preserve"> </w:t>
      </w:r>
      <w:proofErr w:type="spellStart"/>
      <w:r>
        <w:rPr>
          <w:i/>
          <w:sz w:val="18"/>
          <w:szCs w:val="18"/>
        </w:rPr>
        <w:t>effects</w:t>
      </w:r>
      <w:proofErr w:type="spellEnd"/>
      <w:r>
        <w:rPr>
          <w:i/>
          <w:sz w:val="18"/>
          <w:szCs w:val="18"/>
        </w:rPr>
        <w:t xml:space="preserve"> of </w:t>
      </w:r>
      <w:proofErr w:type="spellStart"/>
      <w:r>
        <w:rPr>
          <w:i/>
          <w:sz w:val="18"/>
          <w:szCs w:val="18"/>
        </w:rPr>
        <w:t>daylight-saving</w:t>
      </w:r>
      <w:proofErr w:type="spellEnd"/>
      <w:r>
        <w:rPr>
          <w:i/>
          <w:sz w:val="18"/>
          <w:szCs w:val="18"/>
        </w:rPr>
        <w:t xml:space="preserve"> </w:t>
      </w:r>
      <w:proofErr w:type="spellStart"/>
      <w:r>
        <w:rPr>
          <w:i/>
          <w:sz w:val="18"/>
          <w:szCs w:val="18"/>
        </w:rPr>
        <w:t>time</w:t>
      </w:r>
      <w:proofErr w:type="spellEnd"/>
      <w:r>
        <w:rPr>
          <w:i/>
          <w:sz w:val="18"/>
          <w:szCs w:val="18"/>
        </w:rPr>
        <w:t xml:space="preserve"> on SAT </w:t>
      </w:r>
      <w:proofErr w:type="spellStart"/>
      <w:r>
        <w:rPr>
          <w:i/>
          <w:sz w:val="18"/>
          <w:szCs w:val="18"/>
        </w:rPr>
        <w:t>scores</w:t>
      </w:r>
      <w:proofErr w:type="spellEnd"/>
      <w:r>
        <w:rPr>
          <w:sz w:val="18"/>
          <w:szCs w:val="18"/>
        </w:rPr>
        <w:t xml:space="preserve">, </w:t>
      </w:r>
      <w:proofErr w:type="spellStart"/>
      <w:r>
        <w:rPr>
          <w:sz w:val="18"/>
          <w:szCs w:val="18"/>
        </w:rPr>
        <w:t>Journal</w:t>
      </w:r>
      <w:proofErr w:type="spellEnd"/>
      <w:r>
        <w:rPr>
          <w:sz w:val="18"/>
          <w:szCs w:val="18"/>
        </w:rPr>
        <w:t xml:space="preserve"> of </w:t>
      </w:r>
      <w:proofErr w:type="spellStart"/>
      <w:r>
        <w:rPr>
          <w:sz w:val="18"/>
          <w:szCs w:val="18"/>
        </w:rPr>
        <w:t>Neuroscience</w:t>
      </w:r>
      <w:proofErr w:type="spellEnd"/>
      <w:r>
        <w:rPr>
          <w:sz w:val="18"/>
          <w:szCs w:val="18"/>
        </w:rPr>
        <w:t xml:space="preserve">, </w:t>
      </w:r>
      <w:proofErr w:type="spellStart"/>
      <w:r>
        <w:rPr>
          <w:sz w:val="18"/>
          <w:szCs w:val="18"/>
        </w:rPr>
        <w:t>Psychology</w:t>
      </w:r>
      <w:proofErr w:type="spellEnd"/>
      <w:r>
        <w:rPr>
          <w:sz w:val="18"/>
          <w:szCs w:val="18"/>
        </w:rPr>
        <w:t xml:space="preserve">, and </w:t>
      </w:r>
      <w:proofErr w:type="spellStart"/>
      <w:r>
        <w:rPr>
          <w:sz w:val="18"/>
          <w:szCs w:val="18"/>
        </w:rPr>
        <w:t>Economics</w:t>
      </w:r>
      <w:proofErr w:type="spellEnd"/>
      <w:r>
        <w:rPr>
          <w:sz w:val="18"/>
          <w:szCs w:val="18"/>
        </w:rPr>
        <w:t>, 4(1), 44–53, 2011.</w:t>
      </w:r>
    </w:p>
  </w:footnote>
  <w:footnote w:id="6">
    <w:p w14:paraId="00000014" w14:textId="77777777" w:rsidR="002D4562" w:rsidRDefault="00C92F96">
      <w:pPr>
        <w:spacing w:line="240" w:lineRule="auto"/>
        <w:rPr>
          <w:sz w:val="18"/>
          <w:szCs w:val="18"/>
        </w:rPr>
      </w:pPr>
      <w:r>
        <w:rPr>
          <w:vertAlign w:val="superscript"/>
        </w:rPr>
        <w:footnoteRef/>
      </w:r>
      <w:r>
        <w:rPr>
          <w:sz w:val="20"/>
          <w:szCs w:val="20"/>
        </w:rPr>
        <w:t xml:space="preserve"> </w:t>
      </w:r>
      <w:proofErr w:type="spellStart"/>
      <w:r>
        <w:rPr>
          <w:sz w:val="18"/>
          <w:szCs w:val="18"/>
        </w:rPr>
        <w:t>Janszky</w:t>
      </w:r>
      <w:proofErr w:type="spellEnd"/>
      <w:r>
        <w:rPr>
          <w:sz w:val="18"/>
          <w:szCs w:val="18"/>
        </w:rPr>
        <w:t xml:space="preserve">, I, </w:t>
      </w:r>
      <w:proofErr w:type="spellStart"/>
      <w:r>
        <w:rPr>
          <w:sz w:val="18"/>
          <w:szCs w:val="18"/>
        </w:rPr>
        <w:t>Ljung</w:t>
      </w:r>
      <w:proofErr w:type="spellEnd"/>
      <w:r>
        <w:rPr>
          <w:sz w:val="18"/>
          <w:szCs w:val="18"/>
        </w:rPr>
        <w:t xml:space="preserve">, R, </w:t>
      </w:r>
      <w:proofErr w:type="spellStart"/>
      <w:r>
        <w:rPr>
          <w:i/>
          <w:sz w:val="18"/>
          <w:szCs w:val="18"/>
        </w:rPr>
        <w:t>Shifts</w:t>
      </w:r>
      <w:proofErr w:type="spellEnd"/>
      <w:r>
        <w:rPr>
          <w:i/>
          <w:sz w:val="18"/>
          <w:szCs w:val="18"/>
        </w:rPr>
        <w:t xml:space="preserve"> to and from </w:t>
      </w:r>
      <w:proofErr w:type="spellStart"/>
      <w:r>
        <w:rPr>
          <w:i/>
          <w:sz w:val="18"/>
          <w:szCs w:val="18"/>
        </w:rPr>
        <w:t>daylight</w:t>
      </w:r>
      <w:proofErr w:type="spellEnd"/>
      <w:r>
        <w:rPr>
          <w:i/>
          <w:sz w:val="18"/>
          <w:szCs w:val="18"/>
        </w:rPr>
        <w:t xml:space="preserve"> </w:t>
      </w:r>
      <w:proofErr w:type="spellStart"/>
      <w:r>
        <w:rPr>
          <w:i/>
          <w:sz w:val="18"/>
          <w:szCs w:val="18"/>
        </w:rPr>
        <w:t>saving</w:t>
      </w:r>
      <w:proofErr w:type="spellEnd"/>
      <w:r>
        <w:rPr>
          <w:i/>
          <w:sz w:val="18"/>
          <w:szCs w:val="18"/>
        </w:rPr>
        <w:t xml:space="preserve"> </w:t>
      </w:r>
      <w:proofErr w:type="spellStart"/>
      <w:r>
        <w:rPr>
          <w:i/>
          <w:sz w:val="18"/>
          <w:szCs w:val="18"/>
        </w:rPr>
        <w:t>time</w:t>
      </w:r>
      <w:proofErr w:type="spellEnd"/>
      <w:r>
        <w:rPr>
          <w:i/>
          <w:sz w:val="18"/>
          <w:szCs w:val="18"/>
        </w:rPr>
        <w:t xml:space="preserve"> and </w:t>
      </w:r>
      <w:proofErr w:type="spellStart"/>
      <w:r>
        <w:rPr>
          <w:i/>
          <w:sz w:val="18"/>
          <w:szCs w:val="18"/>
        </w:rPr>
        <w:t>incidence</w:t>
      </w:r>
      <w:proofErr w:type="spellEnd"/>
      <w:r>
        <w:rPr>
          <w:i/>
          <w:sz w:val="18"/>
          <w:szCs w:val="18"/>
        </w:rPr>
        <w:t xml:space="preserve"> of </w:t>
      </w:r>
      <w:proofErr w:type="spellStart"/>
      <w:r>
        <w:rPr>
          <w:i/>
          <w:sz w:val="18"/>
          <w:szCs w:val="18"/>
        </w:rPr>
        <w:t>myocardial</w:t>
      </w:r>
      <w:proofErr w:type="spellEnd"/>
      <w:r>
        <w:rPr>
          <w:i/>
          <w:sz w:val="18"/>
          <w:szCs w:val="18"/>
        </w:rPr>
        <w:t xml:space="preserve"> </w:t>
      </w:r>
      <w:proofErr w:type="spellStart"/>
      <w:r>
        <w:rPr>
          <w:i/>
          <w:sz w:val="18"/>
          <w:szCs w:val="18"/>
        </w:rPr>
        <w:t>infarction</w:t>
      </w:r>
      <w:proofErr w:type="spellEnd"/>
      <w:r>
        <w:rPr>
          <w:sz w:val="18"/>
          <w:szCs w:val="18"/>
        </w:rPr>
        <w:t xml:space="preserve">, N </w:t>
      </w:r>
      <w:proofErr w:type="spellStart"/>
      <w:r>
        <w:rPr>
          <w:sz w:val="18"/>
          <w:szCs w:val="18"/>
        </w:rPr>
        <w:t>Engl</w:t>
      </w:r>
      <w:proofErr w:type="spellEnd"/>
      <w:r>
        <w:rPr>
          <w:sz w:val="18"/>
          <w:szCs w:val="18"/>
        </w:rPr>
        <w:t xml:space="preserve"> J </w:t>
      </w:r>
      <w:proofErr w:type="spellStart"/>
      <w:r>
        <w:rPr>
          <w:sz w:val="18"/>
          <w:szCs w:val="18"/>
        </w:rPr>
        <w:t>Med</w:t>
      </w:r>
      <w:proofErr w:type="spellEnd"/>
      <w:r>
        <w:rPr>
          <w:sz w:val="18"/>
          <w:szCs w:val="18"/>
        </w:rPr>
        <w:t xml:space="preserve"> 359:1966-1968, 2008.</w:t>
      </w:r>
    </w:p>
  </w:footnote>
  <w:footnote w:id="7">
    <w:p w14:paraId="00000015" w14:textId="77777777" w:rsidR="002D4562" w:rsidRDefault="00C92F96">
      <w:pPr>
        <w:spacing w:line="240" w:lineRule="auto"/>
        <w:rPr>
          <w:sz w:val="18"/>
          <w:szCs w:val="18"/>
        </w:rPr>
      </w:pPr>
      <w:r>
        <w:rPr>
          <w:vertAlign w:val="superscript"/>
        </w:rPr>
        <w:footnoteRef/>
      </w:r>
      <w:r>
        <w:rPr>
          <w:sz w:val="20"/>
          <w:szCs w:val="20"/>
        </w:rPr>
        <w:t xml:space="preserve"> </w:t>
      </w:r>
      <w:proofErr w:type="spellStart"/>
      <w:r>
        <w:rPr>
          <w:sz w:val="18"/>
          <w:szCs w:val="18"/>
        </w:rPr>
        <w:t>Coren</w:t>
      </w:r>
      <w:proofErr w:type="spellEnd"/>
      <w:r>
        <w:rPr>
          <w:sz w:val="18"/>
          <w:szCs w:val="18"/>
        </w:rPr>
        <w:t xml:space="preserve">, S, </w:t>
      </w:r>
      <w:proofErr w:type="spellStart"/>
      <w:r>
        <w:rPr>
          <w:i/>
          <w:sz w:val="18"/>
          <w:szCs w:val="18"/>
        </w:rPr>
        <w:t>Accidental</w:t>
      </w:r>
      <w:proofErr w:type="spellEnd"/>
      <w:r>
        <w:rPr>
          <w:i/>
          <w:sz w:val="18"/>
          <w:szCs w:val="18"/>
        </w:rPr>
        <w:t xml:space="preserve"> </w:t>
      </w:r>
      <w:proofErr w:type="spellStart"/>
      <w:r>
        <w:rPr>
          <w:i/>
          <w:sz w:val="18"/>
          <w:szCs w:val="18"/>
        </w:rPr>
        <w:t>death</w:t>
      </w:r>
      <w:proofErr w:type="spellEnd"/>
      <w:r>
        <w:rPr>
          <w:i/>
          <w:sz w:val="18"/>
          <w:szCs w:val="18"/>
        </w:rPr>
        <w:t xml:space="preserve"> and the </w:t>
      </w:r>
      <w:proofErr w:type="spellStart"/>
      <w:r>
        <w:rPr>
          <w:i/>
          <w:sz w:val="18"/>
          <w:szCs w:val="18"/>
        </w:rPr>
        <w:t>shift</w:t>
      </w:r>
      <w:proofErr w:type="spellEnd"/>
      <w:r>
        <w:rPr>
          <w:i/>
          <w:sz w:val="18"/>
          <w:szCs w:val="18"/>
        </w:rPr>
        <w:t xml:space="preserve"> to </w:t>
      </w:r>
      <w:proofErr w:type="spellStart"/>
      <w:r>
        <w:rPr>
          <w:i/>
          <w:sz w:val="18"/>
          <w:szCs w:val="18"/>
        </w:rPr>
        <w:t>daylight</w:t>
      </w:r>
      <w:proofErr w:type="spellEnd"/>
      <w:r>
        <w:rPr>
          <w:i/>
          <w:sz w:val="18"/>
          <w:szCs w:val="18"/>
        </w:rPr>
        <w:t xml:space="preserve"> </w:t>
      </w:r>
      <w:proofErr w:type="spellStart"/>
      <w:r>
        <w:rPr>
          <w:i/>
          <w:sz w:val="18"/>
          <w:szCs w:val="18"/>
        </w:rPr>
        <w:t>savings</w:t>
      </w:r>
      <w:proofErr w:type="spellEnd"/>
      <w:r>
        <w:rPr>
          <w:i/>
          <w:sz w:val="18"/>
          <w:szCs w:val="18"/>
        </w:rPr>
        <w:t xml:space="preserve"> </w:t>
      </w:r>
      <w:proofErr w:type="spellStart"/>
      <w:r>
        <w:rPr>
          <w:i/>
          <w:sz w:val="18"/>
          <w:szCs w:val="18"/>
        </w:rPr>
        <w:t>time</w:t>
      </w:r>
      <w:proofErr w:type="spellEnd"/>
      <w:r>
        <w:rPr>
          <w:sz w:val="18"/>
          <w:szCs w:val="18"/>
        </w:rPr>
        <w:t xml:space="preserve">, </w:t>
      </w:r>
      <w:proofErr w:type="spellStart"/>
      <w:r>
        <w:rPr>
          <w:sz w:val="18"/>
          <w:szCs w:val="18"/>
        </w:rPr>
        <w:t>Percept</w:t>
      </w:r>
      <w:proofErr w:type="spellEnd"/>
      <w:r>
        <w:rPr>
          <w:sz w:val="18"/>
          <w:szCs w:val="18"/>
        </w:rPr>
        <w:t xml:space="preserve"> Mot </w:t>
      </w:r>
      <w:proofErr w:type="spellStart"/>
      <w:r>
        <w:rPr>
          <w:sz w:val="18"/>
          <w:szCs w:val="18"/>
        </w:rPr>
        <w:t>Skills</w:t>
      </w:r>
      <w:proofErr w:type="spellEnd"/>
      <w:r>
        <w:rPr>
          <w:sz w:val="18"/>
          <w:szCs w:val="18"/>
        </w:rPr>
        <w:t xml:space="preserve"> 83:921-922, 1996.</w:t>
      </w:r>
    </w:p>
  </w:footnote>
  <w:footnote w:id="8">
    <w:p w14:paraId="00000016" w14:textId="77777777" w:rsidR="002D4562" w:rsidRDefault="00C92F96">
      <w:pPr>
        <w:spacing w:line="240" w:lineRule="auto"/>
        <w:rPr>
          <w:sz w:val="18"/>
          <w:szCs w:val="18"/>
        </w:rPr>
      </w:pPr>
      <w:r>
        <w:rPr>
          <w:vertAlign w:val="superscript"/>
        </w:rPr>
        <w:footnoteRef/>
      </w:r>
      <w:r>
        <w:rPr>
          <w:sz w:val="20"/>
          <w:szCs w:val="20"/>
        </w:rPr>
        <w:t xml:space="preserve"> </w:t>
      </w:r>
      <w:proofErr w:type="spellStart"/>
      <w:r>
        <w:rPr>
          <w:sz w:val="18"/>
          <w:szCs w:val="18"/>
        </w:rPr>
        <w:t>Koopman</w:t>
      </w:r>
      <w:proofErr w:type="spellEnd"/>
      <w:r>
        <w:rPr>
          <w:sz w:val="18"/>
          <w:szCs w:val="18"/>
        </w:rPr>
        <w:t xml:space="preserve">, </w:t>
      </w:r>
      <w:proofErr w:type="spellStart"/>
      <w:r>
        <w:rPr>
          <w:sz w:val="18"/>
          <w:szCs w:val="18"/>
        </w:rPr>
        <w:t>Parsons</w:t>
      </w:r>
      <w:proofErr w:type="spellEnd"/>
      <w:r>
        <w:rPr>
          <w:sz w:val="18"/>
          <w:szCs w:val="18"/>
        </w:rPr>
        <w:t xml:space="preserve"> i in., </w:t>
      </w:r>
      <w:proofErr w:type="spellStart"/>
      <w:r>
        <w:rPr>
          <w:i/>
          <w:sz w:val="18"/>
          <w:szCs w:val="18"/>
        </w:rPr>
        <w:t>Social</w:t>
      </w:r>
      <w:proofErr w:type="spellEnd"/>
      <w:r>
        <w:rPr>
          <w:i/>
          <w:sz w:val="18"/>
          <w:szCs w:val="18"/>
        </w:rPr>
        <w:t xml:space="preserve"> </w:t>
      </w:r>
      <w:proofErr w:type="spellStart"/>
      <w:r>
        <w:rPr>
          <w:i/>
          <w:sz w:val="18"/>
          <w:szCs w:val="18"/>
        </w:rPr>
        <w:t>jetlag</w:t>
      </w:r>
      <w:proofErr w:type="spellEnd"/>
      <w:r>
        <w:rPr>
          <w:i/>
          <w:sz w:val="18"/>
          <w:szCs w:val="18"/>
        </w:rPr>
        <w:t xml:space="preserve">, </w:t>
      </w:r>
      <w:proofErr w:type="spellStart"/>
      <w:r>
        <w:rPr>
          <w:i/>
          <w:sz w:val="18"/>
          <w:szCs w:val="18"/>
        </w:rPr>
        <w:t>obesity</w:t>
      </w:r>
      <w:proofErr w:type="spellEnd"/>
      <w:r>
        <w:rPr>
          <w:i/>
          <w:sz w:val="18"/>
          <w:szCs w:val="18"/>
        </w:rPr>
        <w:t xml:space="preserve"> and </w:t>
      </w:r>
      <w:proofErr w:type="spellStart"/>
      <w:r>
        <w:rPr>
          <w:i/>
          <w:sz w:val="18"/>
          <w:szCs w:val="18"/>
        </w:rPr>
        <w:t>metabolic</w:t>
      </w:r>
      <w:proofErr w:type="spellEnd"/>
      <w:r>
        <w:rPr>
          <w:i/>
          <w:sz w:val="18"/>
          <w:szCs w:val="18"/>
        </w:rPr>
        <w:t xml:space="preserve"> </w:t>
      </w:r>
      <w:proofErr w:type="spellStart"/>
      <w:r>
        <w:rPr>
          <w:i/>
          <w:sz w:val="18"/>
          <w:szCs w:val="18"/>
        </w:rPr>
        <w:t>disorder</w:t>
      </w:r>
      <w:proofErr w:type="spellEnd"/>
      <w:r>
        <w:rPr>
          <w:i/>
          <w:sz w:val="18"/>
          <w:szCs w:val="18"/>
        </w:rPr>
        <w:t xml:space="preserve">: </w:t>
      </w:r>
      <w:proofErr w:type="spellStart"/>
      <w:r>
        <w:rPr>
          <w:i/>
          <w:sz w:val="18"/>
          <w:szCs w:val="18"/>
        </w:rPr>
        <w:t>investigation</w:t>
      </w:r>
      <w:proofErr w:type="spellEnd"/>
      <w:r>
        <w:rPr>
          <w:i/>
          <w:sz w:val="18"/>
          <w:szCs w:val="18"/>
        </w:rPr>
        <w:t xml:space="preserve"> in a </w:t>
      </w:r>
      <w:proofErr w:type="spellStart"/>
      <w:r>
        <w:rPr>
          <w:i/>
          <w:sz w:val="18"/>
          <w:szCs w:val="18"/>
        </w:rPr>
        <w:t>cohort</w:t>
      </w:r>
      <w:proofErr w:type="spellEnd"/>
      <w:r>
        <w:rPr>
          <w:i/>
          <w:sz w:val="18"/>
          <w:szCs w:val="18"/>
        </w:rPr>
        <w:t xml:space="preserve"> </w:t>
      </w:r>
      <w:proofErr w:type="spellStart"/>
      <w:r>
        <w:rPr>
          <w:i/>
          <w:sz w:val="18"/>
          <w:szCs w:val="18"/>
        </w:rPr>
        <w:t>study</w:t>
      </w:r>
      <w:proofErr w:type="spellEnd"/>
      <w:r>
        <w:rPr>
          <w:sz w:val="18"/>
          <w:szCs w:val="18"/>
        </w:rPr>
        <w:t xml:space="preserve">, </w:t>
      </w:r>
      <w:proofErr w:type="spellStart"/>
      <w:r>
        <w:rPr>
          <w:sz w:val="18"/>
          <w:szCs w:val="18"/>
        </w:rPr>
        <w:t>Int</w:t>
      </w:r>
      <w:proofErr w:type="spellEnd"/>
      <w:r>
        <w:rPr>
          <w:sz w:val="18"/>
          <w:szCs w:val="18"/>
        </w:rPr>
        <w:t xml:space="preserve"> J</w:t>
      </w:r>
    </w:p>
    <w:p w14:paraId="00000017" w14:textId="77777777" w:rsidR="002D4562" w:rsidRDefault="00C92F96">
      <w:pPr>
        <w:spacing w:line="240" w:lineRule="auto"/>
        <w:rPr>
          <w:sz w:val="18"/>
          <w:szCs w:val="18"/>
        </w:rPr>
      </w:pPr>
      <w:proofErr w:type="spellStart"/>
      <w:r>
        <w:rPr>
          <w:sz w:val="18"/>
          <w:szCs w:val="18"/>
        </w:rPr>
        <w:t>Obes</w:t>
      </w:r>
      <w:proofErr w:type="spellEnd"/>
      <w:r>
        <w:rPr>
          <w:sz w:val="18"/>
          <w:szCs w:val="18"/>
        </w:rPr>
        <w:t xml:space="preserve"> 39:842, 2015, 2017.</w:t>
      </w:r>
    </w:p>
  </w:footnote>
  <w:footnote w:id="9">
    <w:p w14:paraId="00000018" w14:textId="77777777" w:rsidR="002D4562" w:rsidRDefault="00C92F96">
      <w:pPr>
        <w:spacing w:line="240" w:lineRule="auto"/>
        <w:rPr>
          <w:sz w:val="18"/>
          <w:szCs w:val="18"/>
        </w:rPr>
      </w:pPr>
      <w:r>
        <w:rPr>
          <w:vertAlign w:val="superscript"/>
        </w:rPr>
        <w:footnoteRef/>
      </w:r>
      <w:r>
        <w:rPr>
          <w:sz w:val="20"/>
          <w:szCs w:val="20"/>
        </w:rPr>
        <w:t xml:space="preserve"> </w:t>
      </w:r>
      <w:proofErr w:type="spellStart"/>
      <w:r>
        <w:rPr>
          <w:sz w:val="18"/>
          <w:szCs w:val="18"/>
        </w:rPr>
        <w:t>Borisenkov</w:t>
      </w:r>
      <w:proofErr w:type="spellEnd"/>
      <w:r>
        <w:rPr>
          <w:sz w:val="18"/>
          <w:szCs w:val="18"/>
        </w:rPr>
        <w:t>, MF,</w:t>
      </w:r>
      <w:r>
        <w:rPr>
          <w:i/>
          <w:sz w:val="18"/>
          <w:szCs w:val="18"/>
        </w:rPr>
        <w:t xml:space="preserve"> </w:t>
      </w:r>
      <w:proofErr w:type="spellStart"/>
      <w:r>
        <w:rPr>
          <w:i/>
          <w:sz w:val="18"/>
          <w:szCs w:val="18"/>
        </w:rPr>
        <w:t>Latitude</w:t>
      </w:r>
      <w:proofErr w:type="spellEnd"/>
      <w:r>
        <w:rPr>
          <w:i/>
          <w:sz w:val="18"/>
          <w:szCs w:val="18"/>
        </w:rPr>
        <w:t xml:space="preserve"> of </w:t>
      </w:r>
      <w:proofErr w:type="spellStart"/>
      <w:r>
        <w:rPr>
          <w:i/>
          <w:sz w:val="18"/>
          <w:szCs w:val="18"/>
        </w:rPr>
        <w:t>residence</w:t>
      </w:r>
      <w:proofErr w:type="spellEnd"/>
      <w:r>
        <w:rPr>
          <w:i/>
          <w:sz w:val="18"/>
          <w:szCs w:val="18"/>
        </w:rPr>
        <w:t xml:space="preserve"> and </w:t>
      </w:r>
      <w:proofErr w:type="spellStart"/>
      <w:r>
        <w:rPr>
          <w:i/>
          <w:sz w:val="18"/>
          <w:szCs w:val="18"/>
        </w:rPr>
        <w:t>position</w:t>
      </w:r>
      <w:proofErr w:type="spellEnd"/>
      <w:r>
        <w:rPr>
          <w:i/>
          <w:sz w:val="18"/>
          <w:szCs w:val="18"/>
        </w:rPr>
        <w:t xml:space="preserve"> in </w:t>
      </w:r>
      <w:proofErr w:type="spellStart"/>
      <w:r>
        <w:rPr>
          <w:i/>
          <w:sz w:val="18"/>
          <w:szCs w:val="18"/>
        </w:rPr>
        <w:t>time</w:t>
      </w:r>
      <w:proofErr w:type="spellEnd"/>
      <w:r>
        <w:rPr>
          <w:i/>
          <w:sz w:val="18"/>
          <w:szCs w:val="18"/>
        </w:rPr>
        <w:t xml:space="preserve"> </w:t>
      </w:r>
      <w:proofErr w:type="spellStart"/>
      <w:r>
        <w:rPr>
          <w:i/>
          <w:sz w:val="18"/>
          <w:szCs w:val="18"/>
        </w:rPr>
        <w:t>zone</w:t>
      </w:r>
      <w:proofErr w:type="spellEnd"/>
      <w:r>
        <w:rPr>
          <w:i/>
          <w:sz w:val="18"/>
          <w:szCs w:val="18"/>
        </w:rPr>
        <w:t xml:space="preserve"> </w:t>
      </w:r>
      <w:proofErr w:type="spellStart"/>
      <w:r>
        <w:rPr>
          <w:i/>
          <w:sz w:val="18"/>
          <w:szCs w:val="18"/>
        </w:rPr>
        <w:t>are</w:t>
      </w:r>
      <w:proofErr w:type="spellEnd"/>
      <w:r>
        <w:rPr>
          <w:i/>
          <w:sz w:val="18"/>
          <w:szCs w:val="18"/>
        </w:rPr>
        <w:t xml:space="preserve"> </w:t>
      </w:r>
      <w:proofErr w:type="spellStart"/>
      <w:r>
        <w:rPr>
          <w:i/>
          <w:sz w:val="18"/>
          <w:szCs w:val="18"/>
        </w:rPr>
        <w:t>predictors</w:t>
      </w:r>
      <w:proofErr w:type="spellEnd"/>
      <w:r>
        <w:rPr>
          <w:i/>
          <w:sz w:val="18"/>
          <w:szCs w:val="18"/>
        </w:rPr>
        <w:t xml:space="preserve"> of </w:t>
      </w:r>
      <w:proofErr w:type="spellStart"/>
      <w:r>
        <w:rPr>
          <w:i/>
          <w:sz w:val="18"/>
          <w:szCs w:val="18"/>
        </w:rPr>
        <w:t>cancer</w:t>
      </w:r>
      <w:proofErr w:type="spellEnd"/>
      <w:r>
        <w:rPr>
          <w:i/>
          <w:sz w:val="18"/>
          <w:szCs w:val="18"/>
        </w:rPr>
        <w:t xml:space="preserve"> </w:t>
      </w:r>
      <w:proofErr w:type="spellStart"/>
      <w:r>
        <w:rPr>
          <w:i/>
          <w:sz w:val="18"/>
          <w:szCs w:val="18"/>
        </w:rPr>
        <w:t>incidence</w:t>
      </w:r>
      <w:proofErr w:type="spellEnd"/>
      <w:r>
        <w:rPr>
          <w:i/>
          <w:sz w:val="18"/>
          <w:szCs w:val="18"/>
        </w:rPr>
        <w:t xml:space="preserve">, </w:t>
      </w:r>
      <w:proofErr w:type="spellStart"/>
      <w:r>
        <w:rPr>
          <w:i/>
          <w:sz w:val="18"/>
          <w:szCs w:val="18"/>
        </w:rPr>
        <w:t>cancer</w:t>
      </w:r>
      <w:proofErr w:type="spellEnd"/>
      <w:r>
        <w:rPr>
          <w:i/>
          <w:sz w:val="18"/>
          <w:szCs w:val="18"/>
        </w:rPr>
        <w:t xml:space="preserve"> </w:t>
      </w:r>
      <w:proofErr w:type="spellStart"/>
      <w:r>
        <w:rPr>
          <w:i/>
          <w:sz w:val="18"/>
          <w:szCs w:val="18"/>
        </w:rPr>
        <w:t>mortality</w:t>
      </w:r>
      <w:proofErr w:type="spellEnd"/>
      <w:r>
        <w:rPr>
          <w:i/>
          <w:sz w:val="18"/>
          <w:szCs w:val="18"/>
        </w:rPr>
        <w:t xml:space="preserve">, and life </w:t>
      </w:r>
      <w:proofErr w:type="spellStart"/>
      <w:r>
        <w:rPr>
          <w:i/>
          <w:sz w:val="18"/>
          <w:szCs w:val="18"/>
        </w:rPr>
        <w:t>expectancy</w:t>
      </w:r>
      <w:proofErr w:type="spellEnd"/>
      <w:r>
        <w:rPr>
          <w:i/>
          <w:sz w:val="18"/>
          <w:szCs w:val="18"/>
        </w:rPr>
        <w:t xml:space="preserve"> </w:t>
      </w:r>
      <w:proofErr w:type="spellStart"/>
      <w:r>
        <w:rPr>
          <w:i/>
          <w:sz w:val="18"/>
          <w:szCs w:val="18"/>
        </w:rPr>
        <w:t>at</w:t>
      </w:r>
      <w:proofErr w:type="spellEnd"/>
      <w:r>
        <w:rPr>
          <w:i/>
          <w:sz w:val="18"/>
          <w:szCs w:val="18"/>
        </w:rPr>
        <w:t xml:space="preserve"> </w:t>
      </w:r>
      <w:proofErr w:type="spellStart"/>
      <w:r>
        <w:rPr>
          <w:i/>
          <w:sz w:val="18"/>
          <w:szCs w:val="18"/>
        </w:rPr>
        <w:t>birth</w:t>
      </w:r>
      <w:proofErr w:type="spellEnd"/>
      <w:r>
        <w:rPr>
          <w:sz w:val="18"/>
          <w:szCs w:val="18"/>
        </w:rPr>
        <w:t xml:space="preserve">, </w:t>
      </w:r>
      <w:proofErr w:type="spellStart"/>
      <w:r>
        <w:rPr>
          <w:sz w:val="18"/>
          <w:szCs w:val="18"/>
        </w:rPr>
        <w:t>Chronobiol</w:t>
      </w:r>
      <w:proofErr w:type="spellEnd"/>
      <w:r>
        <w:rPr>
          <w:sz w:val="18"/>
          <w:szCs w:val="18"/>
        </w:rPr>
        <w:t xml:space="preserve"> </w:t>
      </w:r>
      <w:proofErr w:type="spellStart"/>
      <w:r>
        <w:rPr>
          <w:sz w:val="18"/>
          <w:szCs w:val="18"/>
        </w:rPr>
        <w:t>Int</w:t>
      </w:r>
      <w:proofErr w:type="spellEnd"/>
      <w:r>
        <w:rPr>
          <w:sz w:val="18"/>
          <w:szCs w:val="18"/>
        </w:rPr>
        <w:t xml:space="preserve"> 28:155-162, 2011.</w:t>
      </w:r>
    </w:p>
  </w:footnote>
  <w:footnote w:id="10">
    <w:p w14:paraId="00000019" w14:textId="77777777" w:rsidR="002D4562" w:rsidRDefault="00C92F96">
      <w:pPr>
        <w:spacing w:line="240" w:lineRule="auto"/>
        <w:rPr>
          <w:sz w:val="18"/>
          <w:szCs w:val="18"/>
        </w:rPr>
      </w:pPr>
      <w:r>
        <w:rPr>
          <w:vertAlign w:val="superscript"/>
        </w:rPr>
        <w:footnoteRef/>
      </w:r>
      <w:r>
        <w:rPr>
          <w:sz w:val="20"/>
          <w:szCs w:val="20"/>
        </w:rPr>
        <w:t xml:space="preserve"> </w:t>
      </w:r>
      <w:proofErr w:type="spellStart"/>
      <w:r>
        <w:rPr>
          <w:sz w:val="18"/>
          <w:szCs w:val="18"/>
        </w:rPr>
        <w:t>Wittmann</w:t>
      </w:r>
      <w:proofErr w:type="spellEnd"/>
      <w:r>
        <w:rPr>
          <w:sz w:val="18"/>
          <w:szCs w:val="18"/>
        </w:rPr>
        <w:t xml:space="preserve"> i in., 2006.</w:t>
      </w:r>
    </w:p>
  </w:footnote>
  <w:footnote w:id="11">
    <w:p w14:paraId="0000001A" w14:textId="77777777" w:rsidR="002D4562" w:rsidRDefault="00C92F96">
      <w:pPr>
        <w:spacing w:line="240" w:lineRule="auto"/>
        <w:rPr>
          <w:sz w:val="18"/>
          <w:szCs w:val="18"/>
        </w:rPr>
      </w:pPr>
      <w:r>
        <w:rPr>
          <w:vertAlign w:val="superscript"/>
        </w:rPr>
        <w:footnoteRef/>
      </w:r>
      <w:r>
        <w:rPr>
          <w:sz w:val="20"/>
          <w:szCs w:val="20"/>
        </w:rPr>
        <w:t xml:space="preserve"> </w:t>
      </w:r>
      <w:proofErr w:type="spellStart"/>
      <w:r>
        <w:rPr>
          <w:sz w:val="18"/>
          <w:szCs w:val="18"/>
        </w:rPr>
        <w:t>Hafner</w:t>
      </w:r>
      <w:proofErr w:type="spellEnd"/>
      <w:r>
        <w:rPr>
          <w:sz w:val="18"/>
          <w:szCs w:val="18"/>
        </w:rPr>
        <w:t xml:space="preserve">, M, Stepanek, M, Taylor, J, </w:t>
      </w:r>
      <w:proofErr w:type="spellStart"/>
      <w:r>
        <w:rPr>
          <w:sz w:val="18"/>
          <w:szCs w:val="18"/>
        </w:rPr>
        <w:t>Troxel</w:t>
      </w:r>
      <w:proofErr w:type="spellEnd"/>
      <w:r>
        <w:rPr>
          <w:sz w:val="18"/>
          <w:szCs w:val="18"/>
        </w:rPr>
        <w:t xml:space="preserve">, WM, Van </w:t>
      </w:r>
      <w:proofErr w:type="spellStart"/>
      <w:r>
        <w:rPr>
          <w:sz w:val="18"/>
          <w:szCs w:val="18"/>
        </w:rPr>
        <w:t>Stolk</w:t>
      </w:r>
      <w:proofErr w:type="spellEnd"/>
      <w:r>
        <w:rPr>
          <w:sz w:val="18"/>
          <w:szCs w:val="18"/>
        </w:rPr>
        <w:t xml:space="preserve">, C, </w:t>
      </w:r>
      <w:proofErr w:type="spellStart"/>
      <w:r>
        <w:rPr>
          <w:i/>
          <w:sz w:val="18"/>
          <w:szCs w:val="18"/>
        </w:rPr>
        <w:t>Why</w:t>
      </w:r>
      <w:proofErr w:type="spellEnd"/>
      <w:r>
        <w:rPr>
          <w:i/>
          <w:sz w:val="18"/>
          <w:szCs w:val="18"/>
        </w:rPr>
        <w:t xml:space="preserve"> </w:t>
      </w:r>
      <w:proofErr w:type="spellStart"/>
      <w:r>
        <w:rPr>
          <w:i/>
          <w:sz w:val="18"/>
          <w:szCs w:val="18"/>
        </w:rPr>
        <w:t>Sleep</w:t>
      </w:r>
      <w:proofErr w:type="spellEnd"/>
      <w:r>
        <w:rPr>
          <w:i/>
          <w:sz w:val="18"/>
          <w:szCs w:val="18"/>
        </w:rPr>
        <w:t xml:space="preserve"> </w:t>
      </w:r>
      <w:proofErr w:type="spellStart"/>
      <w:r>
        <w:rPr>
          <w:i/>
          <w:sz w:val="18"/>
          <w:szCs w:val="18"/>
        </w:rPr>
        <w:t>Matters</w:t>
      </w:r>
      <w:proofErr w:type="spellEnd"/>
      <w:r>
        <w:rPr>
          <w:i/>
          <w:sz w:val="18"/>
          <w:szCs w:val="18"/>
        </w:rPr>
        <w:t xml:space="preserve">: The </w:t>
      </w:r>
      <w:proofErr w:type="spellStart"/>
      <w:r>
        <w:rPr>
          <w:i/>
          <w:sz w:val="18"/>
          <w:szCs w:val="18"/>
        </w:rPr>
        <w:t>Economic</w:t>
      </w:r>
      <w:proofErr w:type="spellEnd"/>
      <w:r>
        <w:rPr>
          <w:i/>
          <w:sz w:val="18"/>
          <w:szCs w:val="18"/>
        </w:rPr>
        <w:t xml:space="preserve"> </w:t>
      </w:r>
      <w:proofErr w:type="spellStart"/>
      <w:r>
        <w:rPr>
          <w:i/>
          <w:sz w:val="18"/>
          <w:szCs w:val="18"/>
        </w:rPr>
        <w:t>Costs</w:t>
      </w:r>
      <w:proofErr w:type="spellEnd"/>
      <w:r>
        <w:rPr>
          <w:i/>
          <w:sz w:val="18"/>
          <w:szCs w:val="18"/>
        </w:rPr>
        <w:t xml:space="preserve"> of </w:t>
      </w:r>
      <w:proofErr w:type="spellStart"/>
      <w:r>
        <w:rPr>
          <w:i/>
          <w:sz w:val="18"/>
          <w:szCs w:val="18"/>
        </w:rPr>
        <w:t>Insufficient</w:t>
      </w:r>
      <w:proofErr w:type="spellEnd"/>
      <w:r>
        <w:rPr>
          <w:i/>
          <w:sz w:val="18"/>
          <w:szCs w:val="18"/>
        </w:rPr>
        <w:t xml:space="preserve"> </w:t>
      </w:r>
      <w:proofErr w:type="spellStart"/>
      <w:r>
        <w:rPr>
          <w:i/>
          <w:sz w:val="18"/>
          <w:szCs w:val="18"/>
        </w:rPr>
        <w:t>Sleep</w:t>
      </w:r>
      <w:proofErr w:type="spellEnd"/>
      <w:r>
        <w:rPr>
          <w:sz w:val="18"/>
          <w:szCs w:val="18"/>
        </w:rPr>
        <w:t xml:space="preserve">. Santa </w:t>
      </w:r>
      <w:proofErr w:type="spellStart"/>
      <w:r>
        <w:rPr>
          <w:sz w:val="18"/>
          <w:szCs w:val="18"/>
        </w:rPr>
        <w:t>Monica</w:t>
      </w:r>
      <w:proofErr w:type="spellEnd"/>
      <w:r>
        <w:rPr>
          <w:sz w:val="18"/>
          <w:szCs w:val="18"/>
        </w:rPr>
        <w:t>, CA: RAND, 2014.</w:t>
      </w:r>
    </w:p>
  </w:footnote>
  <w:footnote w:id="12">
    <w:p w14:paraId="0000001B" w14:textId="77777777" w:rsidR="002D4562" w:rsidRDefault="00C92F96">
      <w:pPr>
        <w:spacing w:line="240" w:lineRule="auto"/>
        <w:rPr>
          <w:sz w:val="18"/>
          <w:szCs w:val="18"/>
        </w:rPr>
      </w:pPr>
      <w:r>
        <w:rPr>
          <w:vertAlign w:val="superscript"/>
        </w:rPr>
        <w:footnoteRef/>
      </w:r>
      <w:r>
        <w:rPr>
          <w:sz w:val="20"/>
          <w:szCs w:val="20"/>
        </w:rPr>
        <w:t xml:space="preserve"> </w:t>
      </w:r>
      <w:proofErr w:type="spellStart"/>
      <w:r>
        <w:rPr>
          <w:sz w:val="18"/>
          <w:szCs w:val="18"/>
        </w:rPr>
        <w:t>Hafner</w:t>
      </w:r>
      <w:proofErr w:type="spellEnd"/>
      <w:r>
        <w:rPr>
          <w:sz w:val="18"/>
          <w:szCs w:val="18"/>
        </w:rPr>
        <w:t xml:space="preserve">, M, Stepanek, M, Taylor, J, </w:t>
      </w:r>
      <w:proofErr w:type="spellStart"/>
      <w:r>
        <w:rPr>
          <w:sz w:val="18"/>
          <w:szCs w:val="18"/>
        </w:rPr>
        <w:t>Troxel</w:t>
      </w:r>
      <w:proofErr w:type="spellEnd"/>
      <w:r>
        <w:rPr>
          <w:sz w:val="18"/>
          <w:szCs w:val="18"/>
        </w:rPr>
        <w:t xml:space="preserve">, WM, Van </w:t>
      </w:r>
      <w:proofErr w:type="spellStart"/>
      <w:r>
        <w:rPr>
          <w:sz w:val="18"/>
          <w:szCs w:val="18"/>
        </w:rPr>
        <w:t>Stolk</w:t>
      </w:r>
      <w:proofErr w:type="spellEnd"/>
      <w:r>
        <w:rPr>
          <w:sz w:val="18"/>
          <w:szCs w:val="18"/>
        </w:rPr>
        <w:t xml:space="preserve">, C, </w:t>
      </w:r>
      <w:proofErr w:type="spellStart"/>
      <w:r>
        <w:rPr>
          <w:i/>
          <w:sz w:val="18"/>
          <w:szCs w:val="18"/>
        </w:rPr>
        <w:t>Why</w:t>
      </w:r>
      <w:proofErr w:type="spellEnd"/>
      <w:r>
        <w:rPr>
          <w:i/>
          <w:sz w:val="18"/>
          <w:szCs w:val="18"/>
        </w:rPr>
        <w:t xml:space="preserve"> </w:t>
      </w:r>
      <w:proofErr w:type="spellStart"/>
      <w:r>
        <w:rPr>
          <w:i/>
          <w:sz w:val="18"/>
          <w:szCs w:val="18"/>
        </w:rPr>
        <w:t>Sleep</w:t>
      </w:r>
      <w:proofErr w:type="spellEnd"/>
      <w:r>
        <w:rPr>
          <w:i/>
          <w:sz w:val="18"/>
          <w:szCs w:val="18"/>
        </w:rPr>
        <w:t xml:space="preserve"> </w:t>
      </w:r>
      <w:proofErr w:type="spellStart"/>
      <w:r>
        <w:rPr>
          <w:i/>
          <w:sz w:val="18"/>
          <w:szCs w:val="18"/>
        </w:rPr>
        <w:t>Matters</w:t>
      </w:r>
      <w:proofErr w:type="spellEnd"/>
      <w:r>
        <w:rPr>
          <w:i/>
          <w:sz w:val="18"/>
          <w:szCs w:val="18"/>
        </w:rPr>
        <w:t xml:space="preserve">: The </w:t>
      </w:r>
      <w:proofErr w:type="spellStart"/>
      <w:r>
        <w:rPr>
          <w:i/>
          <w:sz w:val="18"/>
          <w:szCs w:val="18"/>
        </w:rPr>
        <w:t>Economic</w:t>
      </w:r>
      <w:proofErr w:type="spellEnd"/>
      <w:r>
        <w:rPr>
          <w:i/>
          <w:sz w:val="18"/>
          <w:szCs w:val="18"/>
        </w:rPr>
        <w:t xml:space="preserve"> </w:t>
      </w:r>
      <w:proofErr w:type="spellStart"/>
      <w:r>
        <w:rPr>
          <w:i/>
          <w:sz w:val="18"/>
          <w:szCs w:val="18"/>
        </w:rPr>
        <w:t>Costs</w:t>
      </w:r>
      <w:proofErr w:type="spellEnd"/>
      <w:r>
        <w:rPr>
          <w:i/>
          <w:sz w:val="18"/>
          <w:szCs w:val="18"/>
        </w:rPr>
        <w:t xml:space="preserve"> of </w:t>
      </w:r>
      <w:proofErr w:type="spellStart"/>
      <w:r>
        <w:rPr>
          <w:i/>
          <w:sz w:val="18"/>
          <w:szCs w:val="18"/>
        </w:rPr>
        <w:t>Insufficient</w:t>
      </w:r>
      <w:proofErr w:type="spellEnd"/>
      <w:r>
        <w:rPr>
          <w:i/>
          <w:sz w:val="18"/>
          <w:szCs w:val="18"/>
        </w:rPr>
        <w:t xml:space="preserve"> </w:t>
      </w:r>
      <w:proofErr w:type="spellStart"/>
      <w:r>
        <w:rPr>
          <w:i/>
          <w:sz w:val="18"/>
          <w:szCs w:val="18"/>
        </w:rPr>
        <w:t>Sleep</w:t>
      </w:r>
      <w:proofErr w:type="spellEnd"/>
      <w:r>
        <w:rPr>
          <w:sz w:val="18"/>
          <w:szCs w:val="18"/>
        </w:rPr>
        <w:t xml:space="preserve">. Santa </w:t>
      </w:r>
      <w:proofErr w:type="spellStart"/>
      <w:r>
        <w:rPr>
          <w:sz w:val="18"/>
          <w:szCs w:val="18"/>
        </w:rPr>
        <w:t>Monica</w:t>
      </w:r>
      <w:proofErr w:type="spellEnd"/>
      <w:r>
        <w:rPr>
          <w:sz w:val="18"/>
          <w:szCs w:val="18"/>
        </w:rPr>
        <w:t>, CA: RAND, 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231E8" w14:textId="77777777" w:rsidR="00815525" w:rsidRDefault="0081552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89B4E" w14:textId="294429D8" w:rsidR="00815525" w:rsidRDefault="00815525">
    <w:pPr>
      <w:pStyle w:val="Nagwek"/>
    </w:pPr>
    <w:r>
      <w:rPr>
        <w:noProof/>
      </w:rPr>
      <w:drawing>
        <wp:anchor distT="0" distB="0" distL="114300" distR="114300" simplePos="0" relativeHeight="251658240" behindDoc="0" locked="0" layoutInCell="1" allowOverlap="1" wp14:anchorId="3705FA3E" wp14:editId="0A45E2EE">
          <wp:simplePos x="0" y="0"/>
          <wp:positionH relativeFrom="margin">
            <wp:align>right</wp:align>
          </wp:positionH>
          <wp:positionV relativeFrom="paragraph">
            <wp:posOffset>27664</wp:posOffset>
          </wp:positionV>
          <wp:extent cx="985520" cy="446405"/>
          <wp:effectExtent l="0" t="0" r="508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SWPS_podst&amp;rozsz_WAR 1.jpg"/>
                  <pic:cNvPicPr/>
                </pic:nvPicPr>
                <pic:blipFill>
                  <a:blip r:embed="rId1">
                    <a:extLst>
                      <a:ext uri="{28A0092B-C50C-407E-A947-70E740481C1C}">
                        <a14:useLocalDpi xmlns:a14="http://schemas.microsoft.com/office/drawing/2010/main" val="0"/>
                      </a:ext>
                    </a:extLst>
                  </a:blip>
                  <a:stretch>
                    <a:fillRect/>
                  </a:stretch>
                </pic:blipFill>
                <pic:spPr>
                  <a:xfrm>
                    <a:off x="0" y="0"/>
                    <a:ext cx="985520" cy="44640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A512D" w14:textId="77777777" w:rsidR="00815525" w:rsidRDefault="00815525">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562"/>
    <w:rsid w:val="0013749C"/>
    <w:rsid w:val="001E49E8"/>
    <w:rsid w:val="001E6FD6"/>
    <w:rsid w:val="002D4562"/>
    <w:rsid w:val="00321819"/>
    <w:rsid w:val="00626659"/>
    <w:rsid w:val="00815525"/>
    <w:rsid w:val="00C30570"/>
    <w:rsid w:val="00C92F96"/>
    <w:rsid w:val="00D20FF7"/>
    <w:rsid w:val="00ED10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7F8736"/>
  <w15:docId w15:val="{B16C954B-E464-4155-92AE-11751A78D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815525"/>
    <w:pPr>
      <w:tabs>
        <w:tab w:val="center" w:pos="4536"/>
        <w:tab w:val="right" w:pos="9072"/>
      </w:tabs>
      <w:spacing w:line="240" w:lineRule="auto"/>
    </w:pPr>
  </w:style>
  <w:style w:type="character" w:customStyle="1" w:styleId="NagwekZnak">
    <w:name w:val="Nagłówek Znak"/>
    <w:basedOn w:val="Domylnaczcionkaakapitu"/>
    <w:link w:val="Nagwek"/>
    <w:uiPriority w:val="99"/>
    <w:rsid w:val="00815525"/>
  </w:style>
  <w:style w:type="paragraph" w:styleId="Stopka">
    <w:name w:val="footer"/>
    <w:basedOn w:val="Normalny"/>
    <w:link w:val="StopkaZnak"/>
    <w:uiPriority w:val="99"/>
    <w:unhideWhenUsed/>
    <w:rsid w:val="00815525"/>
    <w:pPr>
      <w:tabs>
        <w:tab w:val="center" w:pos="4536"/>
        <w:tab w:val="right" w:pos="9072"/>
      </w:tabs>
      <w:spacing w:line="240" w:lineRule="auto"/>
    </w:pPr>
  </w:style>
  <w:style w:type="character" w:customStyle="1" w:styleId="StopkaZnak">
    <w:name w:val="Stopka Znak"/>
    <w:basedOn w:val="Domylnaczcionkaakapitu"/>
    <w:link w:val="Stopka"/>
    <w:uiPriority w:val="99"/>
    <w:rsid w:val="00815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52018PC063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779</Words>
  <Characters>4677</Characters>
  <Application>Microsoft Office Word</Application>
  <DocSecurity>0</DocSecurity>
  <Lines>38</Lines>
  <Paragraphs>10</Paragraphs>
  <ScaleCrop>false</ScaleCrop>
  <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Bugajska</cp:lastModifiedBy>
  <cp:revision>6</cp:revision>
  <dcterms:created xsi:type="dcterms:W3CDTF">2023-10-19T07:37:00Z</dcterms:created>
  <dcterms:modified xsi:type="dcterms:W3CDTF">2023-10-19T08:59:00Z</dcterms:modified>
</cp:coreProperties>
</file>