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prof. dr hab. Pawe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 xml:space="preserve">ł </w:t>
      </w:r>
      <w:r>
        <w:rPr>
          <w:rFonts w:ascii="Arial" w:hAnsi="Arial"/>
          <w:b w:val="1"/>
          <w:bCs w:val="1"/>
          <w:sz w:val="22"/>
          <w:szCs w:val="22"/>
          <w:rtl w:val="0"/>
        </w:rPr>
        <w:t>Ostaszewski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- dyrektor Instytutu Psychologii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. </w:t>
      </w:r>
      <w:r>
        <w:rPr>
          <w:rFonts w:ascii="Arial" w:hAnsi="Arial"/>
          <w:b w:val="0"/>
          <w:bCs w:val="0"/>
          <w:sz w:val="22"/>
          <w:szCs w:val="22"/>
          <w:rtl w:val="0"/>
        </w:rPr>
        <w:t>Wydzia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w Warszawie</w:t>
      </w:r>
      <w:r>
        <w:rPr>
          <w:rFonts w:ascii="Arial" w:hAnsi="Arial"/>
          <w:b w:val="0"/>
          <w:bCs w:val="0"/>
          <w:sz w:val="22"/>
          <w:szCs w:val="22"/>
          <w:rtl w:val="0"/>
        </w:rPr>
        <w:t>. K</w:t>
      </w:r>
      <w:r>
        <w:rPr>
          <w:rFonts w:ascii="Arial" w:hAnsi="Arial"/>
          <w:b w:val="0"/>
          <w:bCs w:val="0"/>
          <w:sz w:val="22"/>
          <w:szCs w:val="22"/>
          <w:rtl w:val="0"/>
        </w:rPr>
        <w:t>ierownik Katedry Psychologii Behawioralnej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Specjalizuje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psychologii behawioralnej, psychologii biologicznej oraz radykalnym behawioryzmie.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wykorzystaniem psychologii behawioralnej w rozwoju osobistym i terapii,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behawioralnymi metodami zmiany zachowania, zw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aszcza rozwijaniem tzw. elastyczno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psychologicznej poprzez metody stosowane w ramach terapii akceptacji i zaanga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owania (ACT). 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problematyk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dokonywania wyboru, samokontroli i impulsywno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wzgl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dem nagr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d odroczonych, a 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takich, kt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rych uzyskanie wymaga w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enia wysi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ku.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Autor ksi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ąż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ki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L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k przed przest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pczo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(2012),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autor takich publikacji jak: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Terapia behawioralna dzieci z autyzmem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(2012),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Analiza zachowania. Vademecum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(2016),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czesna psychologia behawioralna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(2016).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biologicznych podstaw zachowania, klinicznych zastosowa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psychologii behawioralnej, podstawowych proces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i poj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z analizy zachowania oraz kszta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towania i modyfikacji zachowania.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