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C86" w:rsidRDefault="00634C86">
      <w:pPr>
        <w:spacing w:line="288" w:lineRule="auto"/>
        <w:jc w:val="both"/>
        <w:rPr>
          <w:sz w:val="22"/>
          <w:szCs w:val="22"/>
        </w:rPr>
      </w:pPr>
    </w:p>
    <w:p w:rsidR="00634C86" w:rsidRDefault="00634C86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634C86" w:rsidRDefault="0084474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color w:val="222222"/>
          <w:sz w:val="22"/>
          <w:szCs w:val="22"/>
          <w:u w:color="222222"/>
        </w:rPr>
      </w:pPr>
      <w:r>
        <w:rPr>
          <w:rFonts w:ascii="Arial" w:hAnsi="Arial"/>
          <w:sz w:val="22"/>
          <w:szCs w:val="22"/>
        </w:rPr>
        <w:t>dr hab., prof. Uniwersytetu SWPS Piotr Tadeusz Kwiatkowski</w:t>
      </w:r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  <w:t xml:space="preserve">- nauczyciel akademicki, </w:t>
      </w:r>
      <w:r>
        <w:rPr>
          <w:rFonts w:ascii="Arial" w:hAnsi="Arial"/>
          <w:b w:val="0"/>
          <w:bCs w:val="0"/>
          <w:sz w:val="22"/>
          <w:szCs w:val="22"/>
        </w:rPr>
        <w:t>Instytut Nauk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ecznych, </w:t>
      </w:r>
      <w:r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  <w:t>Wydzia</w:t>
      </w:r>
      <w:r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  <w:t xml:space="preserve">ł </w:t>
      </w:r>
      <w:r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  <w:t>Nauk Humanistycznych i Spo</w:t>
      </w:r>
      <w:r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  <w:t>ł</w:t>
      </w:r>
      <w:r>
        <w:rPr>
          <w:rFonts w:ascii="Arial" w:hAnsi="Arial"/>
          <w:b w:val="0"/>
          <w:bCs w:val="0"/>
          <w:color w:val="222222"/>
          <w:sz w:val="22"/>
          <w:szCs w:val="22"/>
          <w:u w:color="222222"/>
        </w:rPr>
        <w:t>ecznych w Warszawie</w:t>
      </w:r>
    </w:p>
    <w:p w:rsidR="00634C86" w:rsidRDefault="00634C8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634C86" w:rsidRDefault="0084474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Socjolog. Zajmuje si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pami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zbiorow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stwa polskiego oraz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rol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muze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w.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pracy naukowej skupia si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na tym, </w:t>
      </w:r>
      <w:r>
        <w:rPr>
          <w:rFonts w:ascii="Arial" w:hAnsi="Arial"/>
          <w:b w:val="0"/>
          <w:bCs w:val="0"/>
          <w:sz w:val="22"/>
          <w:szCs w:val="22"/>
        </w:rPr>
        <w:t>w jaki spos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 do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wiadczenia dawnych pokole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oddzia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na tera</w:t>
      </w:r>
      <w:r>
        <w:rPr>
          <w:rFonts w:ascii="Arial" w:hAnsi="Arial"/>
          <w:b w:val="0"/>
          <w:bCs w:val="0"/>
          <w:sz w:val="22"/>
          <w:szCs w:val="22"/>
        </w:rPr>
        <w:t>ź</w:t>
      </w:r>
      <w:r>
        <w:rPr>
          <w:rFonts w:ascii="Arial" w:hAnsi="Arial"/>
          <w:b w:val="0"/>
          <w:bCs w:val="0"/>
          <w:sz w:val="22"/>
          <w:szCs w:val="22"/>
        </w:rPr>
        <w:t>niejszo</w:t>
      </w:r>
      <w:r>
        <w:rPr>
          <w:rFonts w:ascii="Arial" w:hAnsi="Arial"/>
          <w:b w:val="0"/>
          <w:bCs w:val="0"/>
          <w:sz w:val="22"/>
          <w:szCs w:val="22"/>
        </w:rPr>
        <w:t>ść</w:t>
      </w:r>
      <w:r>
        <w:rPr>
          <w:rFonts w:ascii="Arial" w:hAnsi="Arial"/>
          <w:b w:val="0"/>
          <w:bCs w:val="0"/>
          <w:sz w:val="22"/>
          <w:szCs w:val="22"/>
        </w:rPr>
        <w:t xml:space="preserve">.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Bada r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wnie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ż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rol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wiedzy o przesz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i symboli historyczny dla ludzi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cych we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czesnym, szybko zmieniaj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cym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 xml:space="preserve">i zglobalizowanym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wiecie. </w:t>
      </w:r>
    </w:p>
    <w:p w:rsidR="00634C86" w:rsidRDefault="0084474D">
      <w:pPr>
        <w:pStyle w:val="Nagwek"/>
        <w:keepNext w:val="0"/>
        <w:shd w:val="clear" w:color="auto" w:fill="FFFFFF"/>
        <w:tabs>
          <w:tab w:val="center" w:pos="4536"/>
          <w:tab w:val="right" w:pos="9044"/>
        </w:tabs>
        <w:spacing w:after="45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u w:color="000000"/>
        </w:rPr>
      </w:pP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Przez wiele lat (1986-2017) pracowa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ł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w firmach badania opinii i rynku, nadal interesuje si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ę 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badaniami opinii i postaw, planowaniem projekt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</w:rPr>
        <w:t xml:space="preserve">w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 oraz wykorzystywaniu ich wynik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ó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w w praktyce np. w dzia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ł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alno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ś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ci biznesowej czy w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ż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yciu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publicznym.</w:t>
      </w:r>
    </w:p>
    <w:p w:rsidR="00634C86" w:rsidRDefault="0084474D">
      <w:pPr>
        <w:pStyle w:val="Nagwek"/>
        <w:keepNext w:val="0"/>
        <w:shd w:val="clear" w:color="auto" w:fill="FFFFFF"/>
        <w:tabs>
          <w:tab w:val="center" w:pos="4536"/>
          <w:tab w:val="right" w:pos="9044"/>
        </w:tabs>
        <w:spacing w:after="45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u w:color="000000"/>
        </w:rPr>
      </w:pPr>
      <w:r>
        <w:rPr>
          <w:rFonts w:ascii="Arial" w:hAnsi="Arial"/>
          <w:b w:val="0"/>
          <w:bCs w:val="0"/>
          <w:sz w:val="22"/>
          <w:szCs w:val="22"/>
          <w:u w:color="000000"/>
        </w:rPr>
        <w:t>Kierowa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projektami: 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Historia i tera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ź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niejszo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ść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 (CBOS 1987), 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Wsp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ół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czesne spo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ł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ecze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ń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stwo polskie wobec przesz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ł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o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ś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ci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 (cz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ł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onek zespo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ł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u i kierownik bada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empirycznych, KBN/ Instytut Bada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Politycznych PAN , 2002-2005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 xml:space="preserve">), II wojna 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ś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wiatowa w pami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ę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ci zbio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rowej wsp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ół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czesnego spo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ł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ecze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ń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stwa Polskiego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 (Muzeum II Wojny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Ś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wiatowej w Gda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ń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sku, 2009), 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Niepodleg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ł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 xml:space="preserve">a 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’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18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 (badania na temat funkcjonowaniu w pami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ę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ci zbiorowej odzyskania niepodleg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ł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o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ś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ci przez Polsk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w roku 1918, Narodowe Centrum Kultury, 2016), 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Publiczno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 xml:space="preserve">ść 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muze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ó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</w:rPr>
        <w:t>w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 (Narodowy Instytut Muzealnictwa i Ochrony Zbior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ó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w od 2017). </w:t>
      </w:r>
      <w:proofErr w:type="spellStart"/>
      <w:r>
        <w:rPr>
          <w:rFonts w:ascii="Arial" w:hAnsi="Arial"/>
          <w:b w:val="0"/>
          <w:bCs w:val="0"/>
          <w:sz w:val="22"/>
          <w:szCs w:val="22"/>
          <w:u w:color="000000"/>
          <w:lang w:val="en-US"/>
        </w:rPr>
        <w:t>Redaktor</w:t>
      </w:r>
      <w:proofErr w:type="spellEnd"/>
      <w:r>
        <w:rPr>
          <w:rFonts w:ascii="Arial" w:hAnsi="Arial"/>
          <w:b w:val="0"/>
          <w:bCs w:val="0"/>
          <w:sz w:val="22"/>
          <w:szCs w:val="22"/>
          <w:u w:color="000000"/>
          <w:lang w:val="en-US"/>
        </w:rPr>
        <w:t xml:space="preserve"> </w:t>
      </w:r>
      <w:r>
        <w:rPr>
          <w:rFonts w:ascii="Arial" w:hAnsi="Arial"/>
          <w:b w:val="0"/>
          <w:bCs w:val="0"/>
          <w:i/>
          <w:iCs/>
          <w:sz w:val="22"/>
          <w:szCs w:val="22"/>
          <w:u w:color="000000"/>
          <w:lang w:val="en-US"/>
        </w:rPr>
        <w:t>Collective Memory and Social Transition in Poland</w:t>
      </w:r>
      <w:r>
        <w:rPr>
          <w:rFonts w:ascii="Arial" w:hAnsi="Arial"/>
          <w:b w:val="0"/>
          <w:bCs w:val="0"/>
          <w:sz w:val="22"/>
          <w:szCs w:val="22"/>
          <w:u w:color="000000"/>
          <w:lang w:val="en-US"/>
        </w:rPr>
        <w:t xml:space="preserve">, </w:t>
      </w:r>
      <w:proofErr w:type="spellStart"/>
      <w:r>
        <w:rPr>
          <w:rFonts w:ascii="Arial" w:hAnsi="Arial"/>
          <w:b w:val="0"/>
          <w:bCs w:val="0"/>
          <w:sz w:val="22"/>
          <w:szCs w:val="22"/>
          <w:u w:color="000000"/>
          <w:lang w:val="en-US"/>
        </w:rPr>
        <w:t>wydania</w:t>
      </w:r>
      <w:proofErr w:type="spellEnd"/>
      <w:r>
        <w:rPr>
          <w:rFonts w:ascii="Arial" w:hAnsi="Arial"/>
          <w:b w:val="0"/>
          <w:bCs w:val="0"/>
          <w:sz w:val="22"/>
          <w:szCs w:val="22"/>
          <w:u w:color="000000"/>
          <w:lang w:val="en-US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u w:color="000000"/>
          <w:lang w:val="en-US"/>
        </w:rPr>
        <w:t>“</w:t>
      </w:r>
      <w:r>
        <w:rPr>
          <w:rFonts w:ascii="Arial" w:hAnsi="Arial"/>
          <w:b w:val="0"/>
          <w:bCs w:val="0"/>
          <w:sz w:val="22"/>
          <w:szCs w:val="22"/>
          <w:u w:color="000000"/>
          <w:lang w:val="en-US"/>
        </w:rPr>
        <w:t>International Journal of Sociology</w:t>
      </w:r>
      <w:r>
        <w:rPr>
          <w:rFonts w:ascii="Arial" w:hAnsi="Arial"/>
          <w:b w:val="0"/>
          <w:bCs w:val="0"/>
          <w:sz w:val="22"/>
          <w:szCs w:val="22"/>
          <w:u w:color="000000"/>
          <w:lang w:val="en-US"/>
        </w:rPr>
        <w:t>”</w:t>
      </w:r>
      <w:r>
        <w:rPr>
          <w:rFonts w:ascii="Arial" w:hAnsi="Arial"/>
          <w:b w:val="0"/>
          <w:bCs w:val="0"/>
          <w:sz w:val="22"/>
          <w:szCs w:val="22"/>
          <w:u w:color="000000"/>
          <w:lang w:val="en-US"/>
        </w:rPr>
        <w:t>, vol. 35, no. 4, Winter 2006</w:t>
      </w:r>
      <w:r>
        <w:rPr>
          <w:rFonts w:ascii="Arial" w:hAnsi="Arial"/>
          <w:b w:val="0"/>
          <w:bCs w:val="0"/>
          <w:sz w:val="22"/>
          <w:szCs w:val="22"/>
          <w:u w:color="000000"/>
          <w:lang w:val="en-US"/>
        </w:rPr>
        <w:t>–</w:t>
      </w:r>
      <w:r>
        <w:rPr>
          <w:rFonts w:ascii="Arial" w:hAnsi="Arial"/>
          <w:b w:val="0"/>
          <w:bCs w:val="0"/>
          <w:sz w:val="22"/>
          <w:szCs w:val="22"/>
          <w:u w:color="000000"/>
          <w:lang w:val="en-US"/>
        </w:rPr>
        <w:t xml:space="preserve">7.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W roku 2018 wyda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monografie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“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Odzyskanie niepodleg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ł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o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ś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ci w polskiej pami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ę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ci zbiorowej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oraz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„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11.11.1918. Niepodleg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ł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o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i </w:t>
      </w:r>
      <w:proofErr w:type="spellStart"/>
      <w:r>
        <w:rPr>
          <w:rFonts w:ascii="Arial" w:hAnsi="Arial"/>
          <w:b w:val="0"/>
          <w:bCs w:val="0"/>
          <w:sz w:val="22"/>
          <w:szCs w:val="22"/>
          <w:u w:color="000000"/>
        </w:rPr>
        <w:t>pami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ę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c</w:t>
      </w:r>
      <w:proofErr w:type="spellEnd"/>
      <w:r>
        <w:rPr>
          <w:rFonts w:ascii="Arial" w:hAnsi="Arial"/>
          <w:b w:val="0"/>
          <w:bCs w:val="0"/>
          <w:sz w:val="22"/>
          <w:szCs w:val="22"/>
          <w:u w:color="000000"/>
        </w:rPr>
        <w:t xml:space="preserve"> w Europie 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Ś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rodkowej (wsp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ół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autorzy: W. Borodziej, M. G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ó</w:t>
      </w:r>
      <w:r>
        <w:rPr>
          <w:rFonts w:ascii="Arial" w:hAnsi="Arial"/>
          <w:b w:val="0"/>
          <w:bCs w:val="0"/>
          <w:sz w:val="22"/>
          <w:szCs w:val="22"/>
          <w:u w:color="000000"/>
        </w:rPr>
        <w:t>rny).</w:t>
      </w:r>
    </w:p>
    <w:p w:rsidR="00634C86" w:rsidRDefault="0084474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onek Polskiego Towarzystwa Socjologicznego oraz Memory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Studies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Association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, w latach 2001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2016 aktywnie dzia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 xml:space="preserve">w </w:t>
      </w:r>
      <w:r>
        <w:rPr>
          <w:rFonts w:ascii="Arial" w:hAnsi="Arial"/>
          <w:b w:val="0"/>
          <w:bCs w:val="0"/>
          <w:sz w:val="22"/>
          <w:szCs w:val="22"/>
        </w:rPr>
        <w:t>Organizacji Firm Badania Opinii i Rynku.</w:t>
      </w:r>
    </w:p>
    <w:p w:rsidR="00634C86" w:rsidRDefault="0084474D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color w:val="121212"/>
          <w:sz w:val="22"/>
          <w:szCs w:val="22"/>
          <w:u w:color="121212"/>
          <w:shd w:val="clear" w:color="auto" w:fill="FFFFFF"/>
        </w:rPr>
        <w:t>Na Uniwersytecie SWPS prowadzi zaj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  <w:shd w:val="clear" w:color="auto" w:fill="FFFFFF"/>
        </w:rPr>
        <w:t>ę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  <w:shd w:val="clear" w:color="auto" w:fill="FFFFFF"/>
        </w:rPr>
        <w:t>cia z</w:t>
      </w:r>
      <w:r>
        <w:rPr>
          <w:rFonts w:ascii="Arial" w:hAnsi="Arial"/>
          <w:b w:val="0"/>
          <w:bCs w:val="0"/>
          <w:color w:val="121212"/>
          <w:sz w:val="22"/>
          <w:szCs w:val="22"/>
          <w:u w:color="121212"/>
          <w:shd w:val="clear" w:color="auto" w:fill="FFFFFF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czesnych teorii socjologicznych, metod i technik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ecznych,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rynku.</w:t>
      </w:r>
    </w:p>
    <w:p w:rsidR="00634C86" w:rsidRDefault="00634C8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:rsidR="00717C26" w:rsidRDefault="00717C26" w:rsidP="00717C26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717C26" w:rsidRPr="00151C8E" w:rsidRDefault="00717C26" w:rsidP="00717C26">
      <w:pPr>
        <w:jc w:val="both"/>
        <w:rPr>
          <w:rFonts w:eastAsia="Times New Roman" w:cstheme="minorHAnsi"/>
          <w:i/>
        </w:rPr>
      </w:pPr>
    </w:p>
    <w:p w:rsidR="00717C26" w:rsidRPr="00151C8E" w:rsidRDefault="00717C26" w:rsidP="00717C26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717C26" w:rsidRPr="00151C8E" w:rsidRDefault="00717C26" w:rsidP="00717C26">
      <w:pPr>
        <w:jc w:val="both"/>
        <w:rPr>
          <w:rFonts w:eastAsia="Times New Roman" w:cstheme="minorHAnsi"/>
          <w:i/>
        </w:rPr>
      </w:pPr>
    </w:p>
    <w:p w:rsidR="00717C26" w:rsidRPr="00151C8E" w:rsidRDefault="00717C26" w:rsidP="00717C2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Na Uniwersytecie SWPS funkcjonuje pięć instytutów naukowych, które zajmują się organizacją i koordynacją działalności naukowej pracowników badawczych i badawczo-dydaktycznych uczelni w poszczególnych </w:t>
      </w:r>
      <w:r w:rsidRPr="00151C8E">
        <w:rPr>
          <w:rFonts w:eastAsia="Times New Roman" w:cstheme="minorHAnsi"/>
          <w:i/>
        </w:rPr>
        <w:lastRenderedPageBreak/>
        <w:t>dyscyplinach: Instytut Psychologii, Instytut Nauk Humanistycznych, Instytut Nauk Społecznych, Instytut Prawa oraz Instytut Projektowania. </w:t>
      </w:r>
    </w:p>
    <w:p w:rsidR="00717C26" w:rsidRPr="00151C8E" w:rsidRDefault="00717C26" w:rsidP="00717C26">
      <w:pPr>
        <w:jc w:val="both"/>
        <w:rPr>
          <w:rFonts w:eastAsia="Times New Roman" w:cstheme="minorHAnsi"/>
          <w:i/>
        </w:rPr>
      </w:pPr>
    </w:p>
    <w:p w:rsidR="00717C26" w:rsidRPr="00151C8E" w:rsidRDefault="00717C26" w:rsidP="00717C2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717C26" w:rsidRPr="00151C8E" w:rsidRDefault="00717C26" w:rsidP="00717C26">
      <w:pPr>
        <w:jc w:val="both"/>
        <w:rPr>
          <w:rFonts w:cstheme="minorHAnsi"/>
          <w:i/>
        </w:rPr>
      </w:pPr>
    </w:p>
    <w:p w:rsidR="00717C26" w:rsidRPr="00151C8E" w:rsidRDefault="00717C26" w:rsidP="00717C26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717C26" w:rsidRPr="00146F9A" w:rsidRDefault="00717C26" w:rsidP="00717C26">
      <w:pPr>
        <w:jc w:val="both"/>
        <w:rPr>
          <w:rFonts w:cstheme="minorHAnsi"/>
          <w:i/>
        </w:rPr>
      </w:pPr>
    </w:p>
    <w:p w:rsidR="00634C86" w:rsidRDefault="00634C86" w:rsidP="00717C26">
      <w:pPr>
        <w:spacing w:after="200" w:line="264" w:lineRule="auto"/>
        <w:jc w:val="both"/>
      </w:pPr>
      <w:bookmarkStart w:id="1" w:name="_GoBack"/>
      <w:bookmarkEnd w:id="1"/>
    </w:p>
    <w:sectPr w:rsidR="00634C8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74D" w:rsidRDefault="0084474D">
      <w:r>
        <w:separator/>
      </w:r>
    </w:p>
  </w:endnote>
  <w:endnote w:type="continuationSeparator" w:id="0">
    <w:p w:rsidR="0084474D" w:rsidRDefault="00844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C86" w:rsidRDefault="00634C8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74D" w:rsidRDefault="0084474D">
      <w:r>
        <w:separator/>
      </w:r>
    </w:p>
  </w:footnote>
  <w:footnote w:type="continuationSeparator" w:id="0">
    <w:p w:rsidR="0084474D" w:rsidRDefault="00844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C86" w:rsidRDefault="0084474D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86"/>
    <w:rsid w:val="00634C86"/>
    <w:rsid w:val="00717C26"/>
    <w:rsid w:val="0084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next w:val="Tre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2023-03-20T12:47:00Z</dcterms:created>
  <dcterms:modified xsi:type="dcterms:W3CDTF">2023-03-20T12:47:00Z</dcterms:modified>
</cp:coreProperties>
</file>