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CD9F" w14:textId="77777777" w:rsidR="00496DE5" w:rsidRDefault="00496DE5">
      <w:pPr>
        <w:spacing w:line="288" w:lineRule="auto"/>
        <w:jc w:val="both"/>
        <w:rPr>
          <w:sz w:val="22"/>
          <w:szCs w:val="22"/>
        </w:rPr>
      </w:pPr>
    </w:p>
    <w:p w14:paraId="1B00FF7E" w14:textId="77777777" w:rsidR="00496DE5" w:rsidRDefault="00496DE5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F4FA8CC" w14:textId="2CA06374" w:rsidR="005B50D7" w:rsidRDefault="00610A03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dr hab. Jerzy Trzebi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ski </w:t>
      </w:r>
      <w:r w:rsidR="005B50D7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r w:rsidR="005B50D7" w:rsidRPr="005B50D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5B50D7"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sycholog, kierownik Katedry Psychologii Osobowości i dyrektor Instytutu Psychologii Uniwersytetu SWPS</w:t>
      </w:r>
    </w:p>
    <w:p w14:paraId="7E33643C" w14:textId="40F25B2B" w:rsidR="005B50D7" w:rsidRPr="005B50D7" w:rsidRDefault="005B50D7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Zajmuje się poznawczą psychologią społeczną i psychologią osobowości. Prowadzi od wielu lat badania nad narracjami, jako sposobami rozumienia społecznych zdarzeń, ludzi i własnej osoby (monografie „Narracyjna struktura wiedzy potocznej”, 1994 i „Narracja jako sposób rozumienia świata”, 2002). Sprawdza, w jaki sposób zrozumienie życiowego wyzwania w ramach osobistej historii-w-toku wpływa na nasz sposób myślenia i zachowania. Analizuje także wpływ siły nadziei podstawowej - tzn. przeświadczeń, że świat ma uniwersalny porządek i ogólny sens, oraz że świat jest generalnie przychylny człowiekowi - na zachowania prospołeczne i radzenie sobie z trudnymi sytuacjami.</w:t>
      </w:r>
    </w:p>
    <w:p w14:paraId="57D4C85D" w14:textId="77777777" w:rsidR="005B50D7" w:rsidRPr="005B50D7" w:rsidRDefault="005B50D7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Interesuje się psychologią twórczości, w szczególności rolą pełniona w kreatywnym myśleniu przez tzw. pojęcia naturalne z których zbudowana jest nasza wiedza. Badał rolę poznawczych reprezentacji celu i działania (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action-oriented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representations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w spostrzeganiu i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zachowaniach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społecznych.</w:t>
      </w:r>
    </w:p>
    <w:p w14:paraId="37DE45B7" w14:textId="77777777" w:rsidR="005B50D7" w:rsidRPr="005B50D7" w:rsidRDefault="005B50D7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Jest nominowanym członkiem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Experimental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W 2009 roku w uznaniu istotnego wkładu do psychologii społecznej jako nauki empirycznej otrzymał wyróżnienie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fellow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status tej organizacji. Należy też do Polskiego Stowarzyszenia Psychologii Społecznej,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Personality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Association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20733D1" w14:textId="77777777" w:rsidR="005B50D7" w:rsidRPr="005B50D7" w:rsidRDefault="005B50D7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5B50D7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Publikuje</w:t>
      </w:r>
      <w:proofErr w:type="spellEnd"/>
      <w:r w:rsidRPr="005B50D7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m.in. w „Journal of Personality and Social Psychology”, „Journal of Social Experimental Psychology”, „Frontiers in Psychology”. </w:t>
      </w:r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członkiem redakcji „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Loss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Trauma”. Zasiadał również w radach takich czasopism naukowych, jak: „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”, „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Clinical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”, „Przegląd Psychologiczny”.</w:t>
      </w:r>
    </w:p>
    <w:p w14:paraId="600AE22C" w14:textId="77777777" w:rsidR="005B50D7" w:rsidRPr="005B50D7" w:rsidRDefault="005B50D7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Kierował kolejno sześcioma kilkuletnimi projektami grantowymi KBN i Narodowego Centrum Nauki. Obecnie prowadzi projekt NCN „Narracyjna kontrola zachowania” (2014–2018). Promotor 9 doktoratów i kilkuset prac magisterskich.</w:t>
      </w:r>
    </w:p>
    <w:p w14:paraId="5F95D867" w14:textId="759ECC30" w:rsidR="005B50D7" w:rsidRDefault="005B50D7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B50D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Wykładał na Uniwersytecie Warszawskim (1975-1999) oraz kilku uniwersytetach w USA i Kanadzie w latach 1980-84 i 1986-87.</w:t>
      </w:r>
    </w:p>
    <w:p w14:paraId="680C4F96" w14:textId="77777777" w:rsidR="005B50D7" w:rsidRDefault="005B50D7" w:rsidP="005B5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7648AE" w14:textId="77777777" w:rsidR="00496DE5" w:rsidRDefault="00610A03">
      <w:pPr>
        <w:spacing w:after="200" w:line="264" w:lineRule="auto"/>
        <w:jc w:val="both"/>
      </w:pPr>
      <w:r>
        <w:t>***</w:t>
      </w:r>
    </w:p>
    <w:p w14:paraId="20573962" w14:textId="77777777" w:rsidR="005B50D7" w:rsidRDefault="005B50D7" w:rsidP="005B50D7">
      <w:pPr>
        <w:shd w:val="clear" w:color="auto" w:fill="FFFFFF"/>
        <w:jc w:val="both"/>
      </w:pPr>
      <w:r>
        <w:t xml:space="preserve"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</w:t>
      </w:r>
      <w:r>
        <w:lastRenderedPageBreak/>
        <w:t xml:space="preserve">psychologia, nauki o kulturze i religii, literaturoznawstwo, nauki prawne, nauki socjologiczne, nauki o polityce i administracji, sztuki plastyczne i konserwacja dzieł sztuki. </w:t>
      </w:r>
    </w:p>
    <w:p w14:paraId="4D412BDC" w14:textId="77777777" w:rsidR="005B50D7" w:rsidRDefault="005B50D7" w:rsidP="005B50D7">
      <w:pPr>
        <w:shd w:val="clear" w:color="auto" w:fill="FFFFFF"/>
        <w:jc w:val="both"/>
      </w:pPr>
    </w:p>
    <w:p w14:paraId="583C66CB" w14:textId="77777777" w:rsidR="005B50D7" w:rsidRDefault="005B50D7" w:rsidP="005B50D7">
      <w:pPr>
        <w:shd w:val="clear" w:color="auto" w:fill="FFFFFF"/>
        <w:jc w:val="both"/>
      </w:pPr>
      <w:r>
        <w:t xml:space="preserve"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</w:t>
      </w:r>
    </w:p>
    <w:p w14:paraId="20406BB7" w14:textId="77777777" w:rsidR="005B50D7" w:rsidRDefault="005B50D7" w:rsidP="005B50D7">
      <w:pPr>
        <w:shd w:val="clear" w:color="auto" w:fill="FFFFFF"/>
        <w:jc w:val="both"/>
      </w:pPr>
    </w:p>
    <w:p w14:paraId="62710985" w14:textId="77777777" w:rsidR="005B50D7" w:rsidRDefault="005B50D7" w:rsidP="005B50D7">
      <w:pPr>
        <w:shd w:val="clear" w:color="auto" w:fill="FFFFFF"/>
        <w:jc w:val="both"/>
      </w:pPr>
      <w:r>
        <w:t xml:space="preserve">Uniwersytet SWPS należy do sojuszu </w:t>
      </w:r>
      <w:proofErr w:type="spellStart"/>
      <w:r>
        <w:t>European</w:t>
      </w:r>
      <w:proofErr w:type="spellEnd"/>
      <w:r>
        <w:t xml:space="preserve"> Reform University Alliance (ERUA). Jest to sojusz uczelni zawarty w ramach Inicjatywy Uniwersytetów Europejskich, powołanej i finansowanej przez Komisję Europejską. </w:t>
      </w:r>
    </w:p>
    <w:p w14:paraId="25871C71" w14:textId="77777777" w:rsidR="005B50D7" w:rsidRDefault="005B50D7" w:rsidP="005B50D7">
      <w:pPr>
        <w:shd w:val="clear" w:color="auto" w:fill="FFFFFF"/>
        <w:jc w:val="both"/>
      </w:pPr>
    </w:p>
    <w:p w14:paraId="5B07D088" w14:textId="77777777" w:rsidR="005B50D7" w:rsidRDefault="005B50D7" w:rsidP="005B50D7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E5953DB" w14:textId="5B0CC3A1" w:rsidR="00496DE5" w:rsidRDefault="00496DE5" w:rsidP="005B50D7">
      <w:pPr>
        <w:shd w:val="clear" w:color="auto" w:fill="FFFFFF"/>
        <w:jc w:val="both"/>
      </w:pPr>
    </w:p>
    <w:sectPr w:rsidR="00496DE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5264B" w14:textId="77777777" w:rsidR="00610A03" w:rsidRDefault="00610A03">
      <w:r>
        <w:separator/>
      </w:r>
    </w:p>
  </w:endnote>
  <w:endnote w:type="continuationSeparator" w:id="0">
    <w:p w14:paraId="7D3DDFCA" w14:textId="77777777" w:rsidR="00610A03" w:rsidRDefault="0061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82DB" w14:textId="77777777" w:rsidR="00496DE5" w:rsidRDefault="00496DE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B11DB" w14:textId="77777777" w:rsidR="00610A03" w:rsidRDefault="00610A03">
      <w:r>
        <w:separator/>
      </w:r>
    </w:p>
  </w:footnote>
  <w:footnote w:type="continuationSeparator" w:id="0">
    <w:p w14:paraId="7EBA6957" w14:textId="77777777" w:rsidR="00610A03" w:rsidRDefault="0061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6658E" w14:textId="77777777" w:rsidR="00496DE5" w:rsidRDefault="00610A0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298A81" wp14:editId="21B344A4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DE5"/>
    <w:rsid w:val="00496DE5"/>
    <w:rsid w:val="005B50D7"/>
    <w:rsid w:val="0061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35CF"/>
  <w15:docId w15:val="{4C11C86D-C2D1-456A-9087-624E6A86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2023-03-14T14:48:00Z</dcterms:created>
  <dcterms:modified xsi:type="dcterms:W3CDTF">2023-03-14T14:48:00Z</dcterms:modified>
</cp:coreProperties>
</file>