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Demokracja w czasach dezinformacji. Manipulacja w sieci w przededniu wyborów prezydenckich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18 maja odbędą się w Polsce wybory prezydenckie. W dobie rosnących napięć i podziałów, medioznawczyni oraz teoretyczka komunikacji, dr hab. Karina Stasiuk-Krajewska, profesor USWPS, ostrzega przed zagranicznymi manipulacjami informacjami, wskazując Rosję jako główne źródło destabilizacji oraz podważania zaufania do demokracji. Podkreśla, że media społecznościowe odgrywają kluczową rolę w rozprzestrzenianiu dezinformacji, w tym niezweryfikowanych treści, które podsycają emocje i wpływają na postawy wyborców. Badaczka CEDMO, specjalizująca się w analizie struktury i wpływu dezinformacji, identyfikuje popularne narracje dezinformacyjne, takie jak podważanie uczciwości wyborów, deprecjonowanie kandydatów oraz eksploatowanie bieżących tematów politycznych.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Zintensyfikowana działalność dezinformacyjna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Okres przedwyborczy jest w każdym kraju demokratycznym okresem zintensyfikowanej działalności dezinformacyjnej, także tej celowo podejmowanej przez zewnętrznych aktorów. – W tym kontekście mówimy o FIMI, czyli o zagranicznych manipulacjach informacjami i ingerencji w informacje. W kontekście FIMI ważne jest to, że tego typu działania mają często charakter zorganizowany, stoją za nimi duże pieniądze oraz przeszkoleni aktorzy. W Polsce głównym źródłem tego typu ingerencji jest Rosja. FIMI ma jeden zasadniczy cel – jest to destabilizacja sytuacji w krajach demokratycznych, zmniejszenie społecznego zaufania do instytucji demokratycznych. Wybory, jako podstawa demokracji, są do tego świetną okazją – analizuje prof. Karina Stasiuk-Krajewska z Wydziału Prawa i Komunikacji Społecznej we Wrocławiu Uniwersytetu SWPS. 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Klasyczną i bardzo niebezpieczną narracją jest podważanie wiarygodności procesu wyborczego jako takiego, zapowiadanie różnego rodzaju oszustw wyborczych. Poza tym dezinformacja przedwyborcza deprecjonuje kandydatów (np. zarzucając im udział w skandalach seksualnych czy działalność korupcyjną). Medioznawczyni dodaje: – Popularną metodą są „prank calls", czyli próby ośmieszenia kandydatów (czy szerzej – polityków) przez fałszywe telefony. 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Polsce dezinformacja przedwyborcza eksploatuje aktualne i budzące emocje tematy polityczne. Obecnie jest to przede wszystkim wątek Centrów Integracji Cudzoziemców i, generalnie, problem obecności imigrantów w Polsce. Wciąż także kwestia rzekomych nieuzasadnionych przywilejów dla osób, które przybyły do Polski z Ukrainy oraz ogólnie – kwestia wojny, która toczy się na terytorium tego państwa (np. powraca klasyczna dezinformacyjna narracja o odpowiedzialności NATO za ten konflikt) – podsumowuje ekspertka. 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Jak wskazują raporty Stowarzyszenie Demagog, z którym USWPS współpracuje w ramach CEDMO, żywe są narracje, które wskazują na niesamodzielność kandydatów i kandydatek na urząd prezydenta – określa się te osoby mianem marionetek lub też wskazuje na ich uzależnienie od innych aktorów politycznych.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Dezinformacja w social mediach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Należy zwrócić uwagę na media społecznościowe, które mają bardzo istotne znaczenie dla współczesnych procesów wyborczych. – Wystarczy spojrzeć na to, jakie mechanizmy zadziałały przy debatach przedwyborczych. Mniej istotne wydaje się to, ile osób te debaty obejrzało w takiej czy innej telewizji, ważniejsze zaś to, że „rozlała się" ona po </w:t>
      </w:r>
      <w:r w:rsidDel="00000000" w:rsidR="00000000" w:rsidRPr="00000000">
        <w:rPr>
          <w:sz w:val="20"/>
          <w:szCs w:val="20"/>
          <w:rtl w:val="0"/>
        </w:rPr>
        <w:t xml:space="preserve">social mediach</w:t>
      </w:r>
      <w:r w:rsidDel="00000000" w:rsidR="00000000" w:rsidRPr="00000000">
        <w:rPr>
          <w:sz w:val="20"/>
          <w:szCs w:val="20"/>
          <w:rtl w:val="0"/>
        </w:rPr>
        <w:t xml:space="preserve"> w postaci memów. – mówi prof. Karina Stasiuk-Krajewska. Dodaje równocześnie, że media społecznościowe sprzyjają dezinformacji, ponieważ umożliwiają odbiorcom tworzenie treści, dzielenie się nimi i często – przekazywanie dalej bez sprawdzenia wiarygodności informacji. – Media tego rodzaju sprzyjają emocjom, co utrudnia krytyczne i świadome podejście do przekazu, który otrzymujemy. Oczywiście politycy także powielają narracje dezinformacyjne czy misinformacyjne (wprowadzanie w błąd bez złej intencji). Potem te wypowiedzi niosą się w mediach społecznościowych. Przykładami mogą być przekazy podważające wiarygodność medycyny czy też </w:t>
      </w:r>
      <w:r w:rsidDel="00000000" w:rsidR="00000000" w:rsidRPr="00000000">
        <w:rPr>
          <w:sz w:val="20"/>
          <w:szCs w:val="20"/>
          <w:rtl w:val="0"/>
        </w:rPr>
        <w:t xml:space="preserve">wypowiedzi</w:t>
      </w:r>
      <w:r w:rsidDel="00000000" w:rsidR="00000000" w:rsidRPr="00000000">
        <w:rPr>
          <w:sz w:val="20"/>
          <w:szCs w:val="20"/>
          <w:rtl w:val="0"/>
        </w:rPr>
        <w:t xml:space="preserve"> (dość częste przed wyborami parlamentarnymi) sugerujące wysokie prawdopodobieństwo sfałszowania wyborów. Takie </w:t>
      </w:r>
      <w:r w:rsidDel="00000000" w:rsidR="00000000" w:rsidRPr="00000000">
        <w:rPr>
          <w:sz w:val="20"/>
          <w:szCs w:val="20"/>
          <w:rtl w:val="0"/>
        </w:rPr>
        <w:t xml:space="preserve">stwierdzenia</w:t>
      </w:r>
      <w:r w:rsidDel="00000000" w:rsidR="00000000" w:rsidRPr="00000000">
        <w:rPr>
          <w:sz w:val="20"/>
          <w:szCs w:val="20"/>
          <w:rtl w:val="0"/>
        </w:rPr>
        <w:t xml:space="preserve">, powtórzymy, nie muszą wynikać ze złych intencji, ale świetnie wpisują się w narracje wprowadzające w błąd, podbijając je i nadając im wiarygodność, czyniąc z nich przedmiot debaty publicznej – mówi prof. Karina Stasiuk-Krajewska.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Przeciwdziałanie dezinformacji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Jak się uchronić przed dezinformacją? Przede wszystkim powinniśmy dążyć do poznania mechanizmów jej działania. W ramach CEDMO na Uniwersytecie SWPS prowadzimy badania dotyczące tego zjawiska i próbujemy opisać je w różnych teoretycznych kontekstach. – W tej chwili badamy także specyfikę dezinformacji przedwyborczej – wynikami badań podzielimy się po zakończeniu wyborów prezydenckich, czyli prawdopodobnie po drugiej turze – mówi </w:t>
      </w:r>
      <w:r w:rsidDel="00000000" w:rsidR="00000000" w:rsidRPr="00000000">
        <w:rPr>
          <w:sz w:val="20"/>
          <w:szCs w:val="20"/>
          <w:rtl w:val="0"/>
        </w:rPr>
        <w:t xml:space="preserve">ekspertka</w:t>
      </w:r>
      <w:r w:rsidDel="00000000" w:rsidR="00000000" w:rsidRPr="00000000">
        <w:rPr>
          <w:sz w:val="20"/>
          <w:szCs w:val="20"/>
          <w:rtl w:val="0"/>
        </w:rPr>
        <w:t xml:space="preserve">. Dodaje, że użytkownik raczej nie może nic zrobić z tym, że w sieci trafia na dezinformację. Prof. Karina Stasiuk-Krajewska podkreśla natomiast, że jest coś, co możemy zrobić: – Użytkownik może przede wszystkim włączyć myślenie krytyczne, zdystansować się wobec tego, co widzi i czyta. W tym kontekście mówimy o budowaniu społecznej odporności na dezinformację, przede wszystkim poprzez poprawienie kompetencji medialnych, związanych ze świadomym korzystaniem z mediów. Ale trzeba pamiętać, że to bardzo trudne, bo żyjemy w społeczeństwach silnie spolaryzowanych, podzielonych. 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Istnieje też bardzo wiele prostych narzędzi, które pozwolą nam zweryfikować, czy na przykład zdjęcie, które widzimy, jest zdjęciem prawdziwym i czy nie zostało </w:t>
      </w:r>
      <w:r w:rsidDel="00000000" w:rsidR="00000000" w:rsidRPr="00000000">
        <w:rPr>
          <w:sz w:val="20"/>
          <w:szCs w:val="20"/>
          <w:rtl w:val="0"/>
        </w:rPr>
        <w:t xml:space="preserve">wzięte</w:t>
      </w:r>
      <w:r w:rsidDel="00000000" w:rsidR="00000000" w:rsidRPr="00000000">
        <w:rPr>
          <w:sz w:val="20"/>
          <w:szCs w:val="20"/>
          <w:rtl w:val="0"/>
        </w:rPr>
        <w:t xml:space="preserve"> z jakiegoś zupełnie innego kontekstu (jest to tzw. wyszukiwanie obrazem). Ekspertka podkreśla, że zawsze bardzo poleca pracę fact-checkerów, którzy profesjonalnie zajmują się weryfikowaniem informacji i przygotowują wiele interesujących raportów oraz tzw. debunków – czyli krótkich tekstów, które sprawdzają, czy dana informacja jest prawdziwa, czy fałszywa.</w:t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p4wlcNe0J3iXTNYSq8XejVKAw==">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