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D5" w:rsidRPr="00597981" w:rsidRDefault="008F52D5" w:rsidP="008F52D5">
      <w:pPr>
        <w:pStyle w:val="Bodytextwithoutindention"/>
        <w:spacing w:line="360" w:lineRule="auto"/>
        <w:rPr>
          <w:b/>
          <w:sz w:val="28"/>
          <w:szCs w:val="28"/>
        </w:rPr>
      </w:pPr>
      <w:r w:rsidRPr="00597981">
        <w:rPr>
          <w:b/>
          <w:sz w:val="28"/>
          <w:szCs w:val="28"/>
        </w:rPr>
        <w:t xml:space="preserve">ASP </w:t>
      </w:r>
      <w:proofErr w:type="spellStart"/>
      <w:r w:rsidRPr="00597981">
        <w:rPr>
          <w:b/>
          <w:sz w:val="28"/>
          <w:szCs w:val="28"/>
        </w:rPr>
        <w:t>styles</w:t>
      </w:r>
      <w:r w:rsidR="00CE6B5E" w:rsidRPr="00597981">
        <w:rPr>
          <w:b/>
          <w:sz w:val="28"/>
          <w:szCs w:val="28"/>
        </w:rPr>
        <w:t>sheet</w:t>
      </w:r>
      <w:proofErr w:type="spellEnd"/>
    </w:p>
    <w:p w:rsidR="008F52D5" w:rsidRDefault="00CE6B5E" w:rsidP="008F52D5">
      <w:pPr>
        <w:pStyle w:val="Bodytextwithoutindention"/>
        <w:spacing w:line="360" w:lineRule="auto"/>
        <w:rPr>
          <w:sz w:val="24"/>
          <w:szCs w:val="24"/>
        </w:rPr>
      </w:pPr>
      <w:r>
        <w:rPr>
          <w:sz w:val="24"/>
          <w:szCs w:val="24"/>
        </w:rPr>
        <w:t>This document</w:t>
      </w:r>
      <w:r>
        <w:rPr>
          <w:rStyle w:val="Uwydatnienie"/>
        </w:rPr>
        <w:t xml:space="preserve"> </w:t>
      </w:r>
      <w:r>
        <w:rPr>
          <w:rStyle w:val="st"/>
        </w:rPr>
        <w:t xml:space="preserve">defines </w:t>
      </w:r>
      <w:r>
        <w:rPr>
          <w:sz w:val="24"/>
          <w:szCs w:val="24"/>
        </w:rPr>
        <w:t xml:space="preserve">the standards used in </w:t>
      </w:r>
      <w:r>
        <w:rPr>
          <w:i/>
          <w:sz w:val="24"/>
          <w:szCs w:val="24"/>
        </w:rPr>
        <w:t>Acta Sueco-Polonica</w:t>
      </w:r>
      <w:r>
        <w:rPr>
          <w:sz w:val="24"/>
          <w:szCs w:val="24"/>
        </w:rPr>
        <w:t>.</w:t>
      </w:r>
      <w:r w:rsidR="008F52D5">
        <w:rPr>
          <w:sz w:val="24"/>
          <w:szCs w:val="24"/>
        </w:rPr>
        <w:t xml:space="preserve"> </w:t>
      </w:r>
    </w:p>
    <w:p w:rsidR="008F52D5" w:rsidRDefault="008F52D5" w:rsidP="008F52D5">
      <w:pPr>
        <w:pStyle w:val="Default"/>
        <w:rPr>
          <w:sz w:val="26"/>
          <w:szCs w:val="26"/>
          <w:lang w:val="en-GB"/>
        </w:rPr>
      </w:pPr>
    </w:p>
    <w:p w:rsidR="006D591F" w:rsidRDefault="006D591F" w:rsidP="008F52D5">
      <w:pPr>
        <w:pStyle w:val="Default"/>
        <w:rPr>
          <w:sz w:val="26"/>
          <w:szCs w:val="26"/>
          <w:lang w:val="en-GB"/>
        </w:rPr>
      </w:pPr>
    </w:p>
    <w:p w:rsidR="008F52D5" w:rsidRPr="00CE4E1D" w:rsidRDefault="008F52D5" w:rsidP="008F52D5">
      <w:pPr>
        <w:pStyle w:val="Authorsname"/>
        <w:jc w:val="left"/>
        <w:rPr>
          <w:b/>
        </w:rPr>
      </w:pPr>
      <w:r w:rsidRPr="00CE4E1D">
        <w:rPr>
          <w:b/>
        </w:rPr>
        <w:t xml:space="preserve">NAME OF AUTHOR </w:t>
      </w:r>
      <w:r>
        <w:rPr>
          <w:b/>
        </w:rPr>
        <w:t>(14 pt bold)</w:t>
      </w:r>
    </w:p>
    <w:p w:rsidR="008F52D5" w:rsidRPr="00B077BD" w:rsidRDefault="008F52D5" w:rsidP="008F52D5">
      <w:pPr>
        <w:pStyle w:val="Department"/>
        <w:jc w:val="left"/>
        <w:rPr>
          <w:lang w:val="en-US" w:eastAsia="en-US"/>
        </w:rPr>
      </w:pPr>
      <w:r>
        <w:rPr>
          <w:lang w:val="en-US" w:eastAsia="en-US"/>
        </w:rPr>
        <w:t>Author’s affiliation 12 pt.</w:t>
      </w:r>
    </w:p>
    <w:p w:rsidR="008F52D5" w:rsidRPr="008F52D5" w:rsidRDefault="008F52D5" w:rsidP="008F52D5">
      <w:pPr>
        <w:pStyle w:val="1Level1heading"/>
        <w:numPr>
          <w:ilvl w:val="0"/>
          <w:numId w:val="0"/>
        </w:numPr>
        <w:spacing w:before="1800"/>
        <w:jc w:val="center"/>
        <w:rPr>
          <w:sz w:val="36"/>
          <w:lang w:val="en-GB"/>
        </w:rPr>
      </w:pPr>
      <w:r w:rsidRPr="00DB6B8E">
        <w:rPr>
          <w:sz w:val="36"/>
          <w:lang w:val="en-GB"/>
        </w:rPr>
        <w:t>The title of your paper</w:t>
      </w:r>
      <w:r w:rsidRPr="00AE1764">
        <w:rPr>
          <w:bCs w:val="0"/>
          <w:sz w:val="36"/>
          <w:szCs w:val="36"/>
          <w:lang w:val="en-GB"/>
        </w:rPr>
        <w:t>(18 pt, bold)</w:t>
      </w:r>
    </w:p>
    <w:p w:rsidR="008F52D5" w:rsidRDefault="008F52D5" w:rsidP="008F52D5">
      <w:pPr>
        <w:pStyle w:val="Department"/>
        <w:spacing w:before="0"/>
        <w:rPr>
          <w:b/>
          <w:sz w:val="32"/>
          <w:szCs w:val="32"/>
          <w:lang w:val="en-US" w:eastAsia="en-US"/>
        </w:rPr>
      </w:pPr>
      <w:r>
        <w:rPr>
          <w:b/>
          <w:sz w:val="32"/>
          <w:szCs w:val="32"/>
          <w:lang w:val="en-US" w:eastAsia="en-US"/>
        </w:rPr>
        <w:t>The subtitle (16 pt, bold)</w:t>
      </w:r>
    </w:p>
    <w:p w:rsidR="008F52D5" w:rsidRDefault="008F52D5" w:rsidP="008F52D5">
      <w:pPr>
        <w:pStyle w:val="Abstracttitle"/>
        <w:rPr>
          <w:lang w:val="en-GB"/>
        </w:rPr>
      </w:pPr>
      <w:r w:rsidRPr="00531A95">
        <w:rPr>
          <w:lang w:val="en-GB"/>
        </w:rPr>
        <w:t>Abstract</w:t>
      </w:r>
      <w:r>
        <w:rPr>
          <w:lang w:val="en-GB"/>
        </w:rPr>
        <w:t xml:space="preserve"> title </w:t>
      </w:r>
    </w:p>
    <w:p w:rsidR="008F52D5" w:rsidRPr="008F52D5" w:rsidRDefault="008F52D5" w:rsidP="008F52D5">
      <w:pPr>
        <w:pStyle w:val="Default"/>
        <w:spacing w:before="240"/>
        <w:rPr>
          <w:i/>
          <w:color w:val="auto"/>
          <w:lang w:val="en-GB"/>
        </w:rPr>
      </w:pPr>
      <w:r>
        <w:rPr>
          <w:i/>
          <w:lang w:val="en-GB"/>
        </w:rPr>
        <w:t>A</w:t>
      </w:r>
      <w:r w:rsidRPr="00AE1764">
        <w:rPr>
          <w:i/>
          <w:lang w:val="en-GB"/>
        </w:rPr>
        <w:t>bstract of your paper</w:t>
      </w:r>
      <w:r>
        <w:rPr>
          <w:lang w:val="en-GB"/>
        </w:rPr>
        <w:t xml:space="preserve"> </w:t>
      </w:r>
      <w:r w:rsidRPr="008F52D5">
        <w:rPr>
          <w:color w:val="auto"/>
          <w:lang w:val="en-GB"/>
        </w:rPr>
        <w:t>(</w:t>
      </w:r>
      <w:r w:rsidRPr="008F52D5">
        <w:rPr>
          <w:i/>
          <w:color w:val="auto"/>
          <w:lang w:val="en-GB"/>
        </w:rPr>
        <w:t xml:space="preserve">100-150 words, Times New Roman, 12 pt, 1,15 spacing and justified.) </w:t>
      </w:r>
    </w:p>
    <w:p w:rsidR="008F52D5" w:rsidRDefault="008F52D5" w:rsidP="008F52D5">
      <w:pPr>
        <w:pStyle w:val="1Level1heading"/>
        <w:rPr>
          <w:lang w:val="en-US"/>
        </w:rPr>
      </w:pPr>
      <w:r>
        <w:rPr>
          <w:lang w:val="en-US"/>
        </w:rPr>
        <w:t xml:space="preserve">Heading </w:t>
      </w:r>
      <w:r w:rsidRPr="00180084">
        <w:rPr>
          <w:lang w:val="en-US"/>
        </w:rPr>
        <w:t>16 pt bold</w:t>
      </w:r>
    </w:p>
    <w:p w:rsidR="008F52D5" w:rsidRDefault="008F52D5" w:rsidP="008F52D5">
      <w:pPr>
        <w:pStyle w:val="Bodytextwithoutindention"/>
        <w:spacing w:line="360" w:lineRule="auto"/>
        <w:rPr>
          <w:sz w:val="24"/>
          <w:szCs w:val="24"/>
        </w:rPr>
      </w:pPr>
      <w:r>
        <w:rPr>
          <w:sz w:val="24"/>
          <w:szCs w:val="24"/>
        </w:rPr>
        <w:t xml:space="preserve">The first paragraph under the heading should be </w:t>
      </w:r>
      <w:proofErr w:type="spellStart"/>
      <w:r>
        <w:rPr>
          <w:sz w:val="24"/>
          <w:szCs w:val="24"/>
        </w:rPr>
        <w:t>unindented</w:t>
      </w:r>
      <w:proofErr w:type="spellEnd"/>
      <w:r>
        <w:rPr>
          <w:sz w:val="24"/>
          <w:szCs w:val="24"/>
        </w:rPr>
        <w:t xml:space="preserve"> and aligned to the left and to the right. Choose 12-pt Times New Roman. </w:t>
      </w:r>
    </w:p>
    <w:p w:rsidR="008F52D5" w:rsidRDefault="008F52D5" w:rsidP="008F52D5">
      <w:pPr>
        <w:pStyle w:val="Bodytextwithindention"/>
        <w:spacing w:line="360" w:lineRule="auto"/>
        <w:rPr>
          <w:sz w:val="24"/>
          <w:szCs w:val="24"/>
        </w:rPr>
      </w:pPr>
      <w:r>
        <w:rPr>
          <w:sz w:val="24"/>
          <w:szCs w:val="24"/>
        </w:rPr>
        <w:t xml:space="preserve">When writing the following paragraphs (starting from the second one), choose a 0.5 cm indention. Keep using this style for all the new paragraphs that follow the first one. </w:t>
      </w:r>
    </w:p>
    <w:p w:rsidR="008F52D5" w:rsidRDefault="008F52D5" w:rsidP="008F52D5">
      <w:pPr>
        <w:pStyle w:val="11Level2heading"/>
        <w:rPr>
          <w:lang w:val="en-US"/>
        </w:rPr>
      </w:pPr>
      <w:r>
        <w:rPr>
          <w:lang w:val="en-US"/>
        </w:rPr>
        <w:t xml:space="preserve">1.1 Heading </w:t>
      </w:r>
      <w:r w:rsidRPr="00180084">
        <w:rPr>
          <w:lang w:val="en-US"/>
        </w:rPr>
        <w:t>14 pt bold</w:t>
      </w:r>
    </w:p>
    <w:p w:rsidR="008F52D5" w:rsidRDefault="008F52D5" w:rsidP="008F52D5">
      <w:pPr>
        <w:pStyle w:val="Bodytextwithoutindention"/>
        <w:spacing w:line="360" w:lineRule="auto"/>
        <w:rPr>
          <w:sz w:val="24"/>
          <w:szCs w:val="24"/>
        </w:rPr>
      </w:pPr>
      <w:r>
        <w:rPr>
          <w:sz w:val="24"/>
          <w:szCs w:val="24"/>
        </w:rPr>
        <w:t xml:space="preserve">Continue as above: the first paragraph without indention, justified and written in 12-pt Times New Roman, and the following ones with a 0.5 cm indention. </w:t>
      </w:r>
    </w:p>
    <w:p w:rsidR="008F52D5" w:rsidRDefault="008F52D5" w:rsidP="008F52D5">
      <w:pPr>
        <w:pStyle w:val="Figuretablestyle"/>
        <w:rPr>
          <w:lang w:val="en-US"/>
        </w:rPr>
      </w:pPr>
      <w:r>
        <w:rPr>
          <w:lang w:val="en-US"/>
        </w:rPr>
        <w:t>Tables and Figures</w:t>
      </w:r>
    </w:p>
    <w:p w:rsidR="008F52D5" w:rsidRDefault="008F52D5" w:rsidP="008F52D5">
      <w:pPr>
        <w:pStyle w:val="Bodytextwithoutindention"/>
        <w:spacing w:line="360" w:lineRule="auto"/>
        <w:rPr>
          <w:sz w:val="24"/>
          <w:szCs w:val="24"/>
          <w:lang w:eastAsia="sv-SE"/>
        </w:rPr>
      </w:pPr>
      <w:r>
        <w:rPr>
          <w:sz w:val="24"/>
          <w:szCs w:val="24"/>
          <w:lang w:eastAsia="sv-SE"/>
        </w:rPr>
        <w:t xml:space="preserve">Your Tables and Figures should be styled according to the following instructions. </w:t>
      </w:r>
    </w:p>
    <w:p w:rsidR="008F52D5" w:rsidRDefault="008F52D5" w:rsidP="008F52D5">
      <w:pPr>
        <w:pStyle w:val="Bodytextwithoutindention"/>
        <w:spacing w:line="360" w:lineRule="auto"/>
        <w:rPr>
          <w:sz w:val="24"/>
          <w:szCs w:val="24"/>
          <w:lang w:eastAsia="sv-SE"/>
        </w:rPr>
      </w:pPr>
      <w:r>
        <w:rPr>
          <w:sz w:val="24"/>
          <w:szCs w:val="24"/>
          <w:lang w:eastAsia="sv-SE"/>
        </w:rPr>
        <w:lastRenderedPageBreak/>
        <w:t xml:space="preserve">Having inserted a table, </w:t>
      </w:r>
      <w:r>
        <w:rPr>
          <w:sz w:val="24"/>
          <w:szCs w:val="24"/>
        </w:rPr>
        <w:t xml:space="preserve">insert a table title or a figure title by choosing INSERT, then REFERENCE and CAPTION (description). It is there the title of the table or figure should be written. The titles of tables and figures should always be placed </w:t>
      </w:r>
      <w:r w:rsidRPr="00531A95">
        <w:rPr>
          <w:b/>
          <w:sz w:val="24"/>
          <w:szCs w:val="24"/>
        </w:rPr>
        <w:t>underneath.</w:t>
      </w:r>
    </w:p>
    <w:p w:rsidR="008F52D5" w:rsidRDefault="008F52D5" w:rsidP="008F52D5">
      <w:pPr>
        <w:pStyle w:val="Bodytextwithindentio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744"/>
        <w:gridCol w:w="1744"/>
        <w:gridCol w:w="1744"/>
        <w:gridCol w:w="1744"/>
      </w:tblGrid>
      <w:tr w:rsidR="008F52D5" w:rsidTr="008F52D5">
        <w:tc>
          <w:tcPr>
            <w:tcW w:w="8720" w:type="dxa"/>
            <w:gridSpan w:val="5"/>
            <w:tcBorders>
              <w:top w:val="single" w:sz="4" w:space="0" w:color="auto"/>
              <w:left w:val="single" w:sz="4" w:space="0" w:color="auto"/>
              <w:bottom w:val="single" w:sz="4" w:space="0" w:color="auto"/>
              <w:right w:val="single" w:sz="4" w:space="0" w:color="auto"/>
            </w:tcBorders>
          </w:tcPr>
          <w:p w:rsidR="008F52D5" w:rsidRDefault="008F52D5" w:rsidP="008F52D5">
            <w:pPr>
              <w:pStyle w:val="Bodytextwithindention"/>
              <w:ind w:firstLine="0"/>
              <w:rPr>
                <w:sz w:val="24"/>
                <w:szCs w:val="24"/>
              </w:rPr>
            </w:pPr>
            <w:r>
              <w:rPr>
                <w:sz w:val="24"/>
                <w:szCs w:val="24"/>
              </w:rPr>
              <w:t>Example of a Table</w:t>
            </w:r>
          </w:p>
        </w:tc>
      </w:tr>
      <w:tr w:rsidR="008F52D5" w:rsidTr="008F52D5">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r>
      <w:tr w:rsidR="008F52D5" w:rsidTr="008F52D5">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c>
          <w:tcPr>
            <w:tcW w:w="1744" w:type="dxa"/>
            <w:tcBorders>
              <w:top w:val="single" w:sz="4" w:space="0" w:color="auto"/>
              <w:left w:val="single" w:sz="4" w:space="0" w:color="auto"/>
              <w:bottom w:val="single" w:sz="4" w:space="0" w:color="auto"/>
              <w:right w:val="single" w:sz="4" w:space="0" w:color="auto"/>
            </w:tcBorders>
          </w:tcPr>
          <w:p w:rsidR="008F52D5" w:rsidRDefault="008F52D5" w:rsidP="008F52D5">
            <w:pPr>
              <w:rPr>
                <w:lang w:val="en-GB"/>
              </w:rPr>
            </w:pPr>
          </w:p>
        </w:tc>
      </w:tr>
    </w:tbl>
    <w:p w:rsidR="008F52D5" w:rsidRDefault="008F52D5" w:rsidP="008F52D5">
      <w:pPr>
        <w:pStyle w:val="Legenda"/>
        <w:rPr>
          <w:lang w:val="en-US"/>
        </w:rPr>
      </w:pPr>
      <w:r>
        <w:rPr>
          <w:lang w:val="en-US"/>
        </w:rPr>
        <w:t xml:space="preserve">Table </w:t>
      </w:r>
      <w:r>
        <w:rPr>
          <w:lang w:val="en-US"/>
        </w:rPr>
        <w:fldChar w:fldCharType="begin"/>
      </w:r>
      <w:r>
        <w:rPr>
          <w:lang w:val="en-US"/>
        </w:rPr>
        <w:instrText xml:space="preserve"> SEQ Table \* ARABIC </w:instrText>
      </w:r>
      <w:r>
        <w:rPr>
          <w:lang w:val="en-US"/>
        </w:rPr>
        <w:fldChar w:fldCharType="separate"/>
      </w:r>
      <w:r>
        <w:rPr>
          <w:noProof/>
          <w:lang w:val="en-US"/>
        </w:rPr>
        <w:t>1</w:t>
      </w:r>
      <w:r>
        <w:rPr>
          <w:lang w:val="en-US"/>
        </w:rPr>
        <w:fldChar w:fldCharType="end"/>
      </w:r>
      <w:r>
        <w:rPr>
          <w:lang w:val="en-US"/>
        </w:rPr>
        <w:t>. This is the style we use for tables.</w:t>
      </w:r>
    </w:p>
    <w:p w:rsidR="008F52D5" w:rsidRDefault="008F52D5" w:rsidP="008F52D5">
      <w:pPr>
        <w:pStyle w:val="Bodytextwithoutindention"/>
        <w:spacing w:line="360" w:lineRule="auto"/>
        <w:rPr>
          <w:sz w:val="24"/>
          <w:szCs w:val="24"/>
        </w:rPr>
      </w:pPr>
      <w:r>
        <w:rPr>
          <w:sz w:val="24"/>
          <w:szCs w:val="24"/>
        </w:rPr>
        <w:t xml:space="preserve">The first paragraph following a table should be </w:t>
      </w:r>
      <w:proofErr w:type="spellStart"/>
      <w:r>
        <w:rPr>
          <w:sz w:val="24"/>
          <w:szCs w:val="24"/>
        </w:rPr>
        <w:t>unindented</w:t>
      </w:r>
      <w:proofErr w:type="spellEnd"/>
      <w:r>
        <w:rPr>
          <w:sz w:val="24"/>
          <w:szCs w:val="24"/>
        </w:rPr>
        <w:t xml:space="preserve">. </w:t>
      </w:r>
    </w:p>
    <w:p w:rsidR="008F52D5" w:rsidRDefault="008F52D5" w:rsidP="008F52D5">
      <w:pPr>
        <w:pStyle w:val="Bodytextwithindention"/>
        <w:spacing w:line="360" w:lineRule="auto"/>
        <w:ind w:firstLine="0"/>
        <w:rPr>
          <w:sz w:val="24"/>
          <w:szCs w:val="24"/>
        </w:rPr>
      </w:pPr>
      <w:r>
        <w:rPr>
          <w:sz w:val="24"/>
          <w:szCs w:val="24"/>
        </w:rPr>
        <w:t xml:space="preserve">All the paragraphs after that should have a 0.5 cm indention. </w:t>
      </w:r>
    </w:p>
    <w:p w:rsidR="008F52D5" w:rsidRDefault="008F52D5" w:rsidP="008F52D5">
      <w:pPr>
        <w:pStyle w:val="Bodytextwithindention"/>
        <w:spacing w:line="360" w:lineRule="auto"/>
        <w:rPr>
          <w:sz w:val="24"/>
          <w:szCs w:val="24"/>
        </w:rPr>
      </w:pPr>
      <w:r>
        <w:rPr>
          <w:sz w:val="24"/>
          <w:szCs w:val="24"/>
        </w:rPr>
        <w:t>Place the numbers and titles of the figure</w:t>
      </w:r>
      <w:r w:rsidRPr="00531A95">
        <w:rPr>
          <w:sz w:val="24"/>
          <w:szCs w:val="24"/>
        </w:rPr>
        <w:t xml:space="preserve">s </w:t>
      </w:r>
      <w:r w:rsidRPr="00531A95">
        <w:rPr>
          <w:b/>
          <w:sz w:val="24"/>
          <w:szCs w:val="24"/>
        </w:rPr>
        <w:t>under</w:t>
      </w:r>
      <w:r w:rsidRPr="00531A95">
        <w:rPr>
          <w:b/>
          <w:sz w:val="24"/>
          <w:szCs w:val="24"/>
          <w:lang w:val="en-GB"/>
        </w:rPr>
        <w:t xml:space="preserve"> </w:t>
      </w:r>
      <w:r w:rsidRPr="00531A95">
        <w:rPr>
          <w:sz w:val="24"/>
          <w:szCs w:val="24"/>
        </w:rPr>
        <w:t>t</w:t>
      </w:r>
      <w:r>
        <w:rPr>
          <w:sz w:val="24"/>
          <w:szCs w:val="24"/>
        </w:rPr>
        <w:t>he figure itself, see the example below.</w:t>
      </w:r>
    </w:p>
    <w:p w:rsidR="008F52D5" w:rsidRDefault="009F742A" w:rsidP="008F52D5">
      <w:pPr>
        <w:pStyle w:val="Bodytextwithoutindention"/>
      </w:pPr>
      <w:r>
        <w:rPr>
          <w:noProof/>
        </w:rPr>
        <w:drawing>
          <wp:inline distT="0" distB="0" distL="0" distR="0">
            <wp:extent cx="4997450" cy="1727200"/>
            <wp:effectExtent l="0" t="0" r="0" b="0"/>
            <wp:docPr id="1" name="Obiek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F52D5" w:rsidRDefault="008F52D5" w:rsidP="008F52D5">
      <w:pPr>
        <w:pStyle w:val="Legenda"/>
        <w:rPr>
          <w:lang w:val="en-US"/>
        </w:rPr>
      </w:pPr>
      <w:r w:rsidRPr="00597981">
        <w:rPr>
          <w:lang w:val="en-US"/>
        </w:rPr>
        <w:t xml:space="preserve">Figure </w:t>
      </w:r>
      <w:r w:rsidRPr="00597981">
        <w:rPr>
          <w:lang w:val="en-US"/>
        </w:rPr>
        <w:fldChar w:fldCharType="begin"/>
      </w:r>
      <w:r w:rsidRPr="00597981">
        <w:rPr>
          <w:lang w:val="en-US"/>
        </w:rPr>
        <w:instrText xml:space="preserve"> SEQ Figure \* ARABIC </w:instrText>
      </w:r>
      <w:r w:rsidRPr="00597981">
        <w:rPr>
          <w:lang w:val="en-US"/>
        </w:rPr>
        <w:fldChar w:fldCharType="separate"/>
      </w:r>
      <w:r w:rsidRPr="00597981">
        <w:rPr>
          <w:noProof/>
          <w:lang w:val="en-US"/>
        </w:rPr>
        <w:t>1</w:t>
      </w:r>
      <w:r w:rsidRPr="00597981">
        <w:rPr>
          <w:lang w:val="en-US"/>
        </w:rPr>
        <w:fldChar w:fldCharType="end"/>
      </w:r>
      <w:r w:rsidRPr="00597981">
        <w:rPr>
          <w:lang w:val="en-US"/>
        </w:rPr>
        <w:t>. Nordic countries.</w:t>
      </w:r>
    </w:p>
    <w:p w:rsidR="008F52D5" w:rsidRDefault="008F52D5" w:rsidP="008F52D5">
      <w:pPr>
        <w:pStyle w:val="Bodytextwithoutindention"/>
        <w:spacing w:line="360" w:lineRule="auto"/>
        <w:rPr>
          <w:sz w:val="24"/>
          <w:szCs w:val="24"/>
        </w:rPr>
      </w:pPr>
      <w:r>
        <w:rPr>
          <w:sz w:val="24"/>
          <w:szCs w:val="24"/>
        </w:rPr>
        <w:t xml:space="preserve">The same style applies to tables: the first paragraph should be </w:t>
      </w:r>
      <w:proofErr w:type="spellStart"/>
      <w:r>
        <w:rPr>
          <w:sz w:val="24"/>
          <w:szCs w:val="24"/>
        </w:rPr>
        <w:t>unindented</w:t>
      </w:r>
      <w:proofErr w:type="spellEnd"/>
      <w:r>
        <w:rPr>
          <w:sz w:val="24"/>
          <w:szCs w:val="24"/>
        </w:rPr>
        <w:t xml:space="preserve">, all the remaining paragraphs should be written with a 0.5 cm indention. </w:t>
      </w:r>
    </w:p>
    <w:p w:rsidR="008F52D5" w:rsidRDefault="008F52D5" w:rsidP="008F52D5">
      <w:pPr>
        <w:pStyle w:val="Bodytextwithoutindention"/>
        <w:rPr>
          <w:b/>
        </w:rPr>
      </w:pPr>
      <w:r>
        <w:rPr>
          <w:b/>
        </w:rPr>
        <w:t>Examples</w:t>
      </w:r>
    </w:p>
    <w:p w:rsidR="008F52D5" w:rsidRDefault="008F52D5" w:rsidP="008F52D5">
      <w:pPr>
        <w:pStyle w:val="Bodytextwithoutindention"/>
        <w:spacing w:line="360" w:lineRule="auto"/>
        <w:rPr>
          <w:sz w:val="24"/>
          <w:szCs w:val="24"/>
          <w:lang w:eastAsia="sv-SE"/>
        </w:rPr>
      </w:pPr>
      <w:r>
        <w:rPr>
          <w:sz w:val="24"/>
          <w:szCs w:val="24"/>
          <w:lang w:eastAsia="sv-SE"/>
        </w:rPr>
        <w:t xml:space="preserve">When giving examples, make sure to number and indent them. Numbering and indentions will appear automatically. </w:t>
      </w:r>
    </w:p>
    <w:p w:rsidR="008F52D5" w:rsidRPr="00100459" w:rsidRDefault="008F52D5" w:rsidP="008F52D5">
      <w:pPr>
        <w:numPr>
          <w:ilvl w:val="0"/>
          <w:numId w:val="3"/>
        </w:numPr>
        <w:spacing w:before="120" w:after="120" w:line="360" w:lineRule="auto"/>
        <w:rPr>
          <w:rFonts w:ascii="Times New Roman" w:eastAsia="SimSun" w:hAnsi="Times New Roman"/>
          <w:sz w:val="24"/>
          <w:szCs w:val="24"/>
          <w:lang w:val="en-GB" w:eastAsia="zh-CN"/>
        </w:rPr>
      </w:pPr>
      <w:r w:rsidRPr="00100459">
        <w:rPr>
          <w:rFonts w:ascii="Times New Roman" w:eastAsia="SimSun" w:hAnsi="Times New Roman"/>
          <w:sz w:val="24"/>
          <w:szCs w:val="24"/>
          <w:lang w:val="en-GB" w:eastAsia="zh-CN"/>
        </w:rPr>
        <w:t>First example.</w:t>
      </w:r>
    </w:p>
    <w:p w:rsidR="008F52D5" w:rsidRPr="00100459" w:rsidRDefault="008F52D5" w:rsidP="008F52D5">
      <w:pPr>
        <w:numPr>
          <w:ilvl w:val="0"/>
          <w:numId w:val="3"/>
        </w:numPr>
        <w:spacing w:before="120" w:after="120" w:line="360" w:lineRule="auto"/>
        <w:rPr>
          <w:rFonts w:ascii="Times New Roman" w:eastAsia="SimSun" w:hAnsi="Times New Roman"/>
          <w:sz w:val="24"/>
          <w:szCs w:val="24"/>
          <w:lang w:val="en-GB" w:eastAsia="zh-CN"/>
        </w:rPr>
      </w:pPr>
      <w:r w:rsidRPr="00100459">
        <w:rPr>
          <w:rFonts w:ascii="Times New Roman" w:eastAsia="SimSun" w:hAnsi="Times New Roman"/>
          <w:sz w:val="24"/>
          <w:szCs w:val="24"/>
          <w:lang w:val="en-GB" w:eastAsia="zh-CN"/>
        </w:rPr>
        <w:t>Second example.</w:t>
      </w:r>
    </w:p>
    <w:p w:rsidR="008F52D5" w:rsidRPr="00100459" w:rsidRDefault="00597981" w:rsidP="008F52D5">
      <w:pPr>
        <w:numPr>
          <w:ilvl w:val="0"/>
          <w:numId w:val="3"/>
        </w:numPr>
        <w:spacing w:before="120" w:after="120" w:line="360" w:lineRule="auto"/>
        <w:rPr>
          <w:rFonts w:ascii="Times New Roman" w:eastAsia="SimSun" w:hAnsi="Times New Roman"/>
          <w:sz w:val="24"/>
          <w:szCs w:val="24"/>
          <w:lang w:val="en-GB" w:eastAsia="zh-CN"/>
        </w:rPr>
      </w:pPr>
      <w:r>
        <w:rPr>
          <w:rFonts w:ascii="Times New Roman" w:eastAsia="SimSun" w:hAnsi="Times New Roman"/>
          <w:sz w:val="24"/>
          <w:szCs w:val="24"/>
          <w:lang w:val="en-GB" w:eastAsia="zh-CN"/>
        </w:rPr>
        <w:t>Third example</w:t>
      </w:r>
    </w:p>
    <w:p w:rsidR="008F52D5" w:rsidRDefault="008F52D5" w:rsidP="008F52D5">
      <w:pPr>
        <w:pStyle w:val="Bodytextwithoutindention"/>
        <w:spacing w:before="120" w:line="360" w:lineRule="auto"/>
        <w:rPr>
          <w:sz w:val="24"/>
          <w:szCs w:val="24"/>
        </w:rPr>
      </w:pPr>
      <w:r>
        <w:rPr>
          <w:sz w:val="24"/>
          <w:szCs w:val="24"/>
        </w:rPr>
        <w:t>The first paragraph following an example should not be indented</w:t>
      </w:r>
      <w:r>
        <w:rPr>
          <w:color w:val="000000"/>
          <w:sz w:val="24"/>
          <w:szCs w:val="24"/>
        </w:rPr>
        <w:t>, the remaining paragraphs as above.</w:t>
      </w:r>
    </w:p>
    <w:p w:rsidR="008F52D5" w:rsidRDefault="008F52D5" w:rsidP="008F52D5">
      <w:pPr>
        <w:pStyle w:val="Bodytextwithoutindention"/>
        <w:rPr>
          <w:b/>
        </w:rPr>
      </w:pPr>
      <w:r>
        <w:rPr>
          <w:b/>
        </w:rPr>
        <w:lastRenderedPageBreak/>
        <w:t>Quotations</w:t>
      </w:r>
    </w:p>
    <w:p w:rsidR="008F52D5" w:rsidRDefault="008F52D5" w:rsidP="008F52D5">
      <w:pPr>
        <w:pStyle w:val="Bodytextwithoutindention"/>
        <w:spacing w:line="360" w:lineRule="auto"/>
        <w:rPr>
          <w:sz w:val="24"/>
          <w:szCs w:val="24"/>
        </w:rPr>
      </w:pPr>
      <w:r>
        <w:rPr>
          <w:sz w:val="24"/>
          <w:szCs w:val="24"/>
        </w:rPr>
        <w:t xml:space="preserve">Style your quotations as followed: </w:t>
      </w:r>
    </w:p>
    <w:p w:rsidR="008F52D5" w:rsidRPr="00E02A50" w:rsidRDefault="008F52D5" w:rsidP="008F52D5">
      <w:pPr>
        <w:pStyle w:val="Quotations"/>
      </w:pPr>
      <w:r w:rsidRPr="00E02A50">
        <w:t>The medieval ballad in Scandinavia is a genre of orally transmitted song that is defined by its form (sometimes couplets with one or two burdens, sometimes quatrains with one burden), by its narrative content, and by the objective stile, the latter characterized not least by the freque</w:t>
      </w:r>
      <w:r>
        <w:t>nt use of formulaic expressions. TSB 1978: 14</w:t>
      </w:r>
    </w:p>
    <w:p w:rsidR="008F52D5" w:rsidRDefault="008F52D5" w:rsidP="008F52D5">
      <w:pPr>
        <w:pStyle w:val="Bodytextwithoutindention"/>
        <w:spacing w:line="360" w:lineRule="auto"/>
        <w:rPr>
          <w:sz w:val="24"/>
          <w:szCs w:val="24"/>
        </w:rPr>
      </w:pPr>
      <w:r>
        <w:rPr>
          <w:sz w:val="24"/>
          <w:szCs w:val="24"/>
        </w:rPr>
        <w:t xml:space="preserve">The text following a quotation should start with an </w:t>
      </w:r>
      <w:proofErr w:type="spellStart"/>
      <w:r>
        <w:rPr>
          <w:sz w:val="24"/>
          <w:szCs w:val="24"/>
        </w:rPr>
        <w:t>unindented</w:t>
      </w:r>
      <w:proofErr w:type="spellEnd"/>
      <w:r>
        <w:rPr>
          <w:sz w:val="24"/>
          <w:szCs w:val="24"/>
        </w:rPr>
        <w:t xml:space="preserve"> paragraph. Place the reference accompanying a quotation both in parentheses in the body text and in the reference list.</w:t>
      </w:r>
    </w:p>
    <w:p w:rsidR="008F52D5" w:rsidRDefault="008F52D5" w:rsidP="008F52D5">
      <w:pPr>
        <w:pStyle w:val="Referencestitle"/>
        <w:spacing w:after="360"/>
        <w:rPr>
          <w:lang w:val="en-US"/>
        </w:rPr>
      </w:pPr>
      <w:r>
        <w:rPr>
          <w:lang w:val="en-US"/>
        </w:rPr>
        <w:t xml:space="preserve">References </w:t>
      </w:r>
    </w:p>
    <w:p w:rsidR="008F52D5" w:rsidRDefault="008F52D5" w:rsidP="008F52D5">
      <w:pPr>
        <w:pStyle w:val="Referencelist"/>
        <w:numPr>
          <w:ilvl w:val="0"/>
          <w:numId w:val="2"/>
        </w:numPr>
        <w:rPr>
          <w:sz w:val="24"/>
          <w:szCs w:val="24"/>
          <w:lang w:val="fr-FR"/>
        </w:rPr>
      </w:pPr>
      <w:r>
        <w:rPr>
          <w:sz w:val="24"/>
          <w:szCs w:val="24"/>
          <w:lang w:val="fr-FR"/>
        </w:rPr>
        <w:t>Books</w:t>
      </w:r>
      <w:bookmarkStart w:id="0" w:name="_GoBack"/>
      <w:bookmarkEnd w:id="0"/>
      <w:r>
        <w:rPr>
          <w:sz w:val="24"/>
          <w:szCs w:val="24"/>
          <w:lang w:val="fr-FR"/>
        </w:rPr>
        <w:t>:</w:t>
      </w:r>
    </w:p>
    <w:p w:rsidR="008F52D5" w:rsidRPr="00E027B6" w:rsidRDefault="00C2598C" w:rsidP="008F52D5">
      <w:pPr>
        <w:pStyle w:val="Referencelist"/>
        <w:rPr>
          <w:sz w:val="24"/>
        </w:rPr>
      </w:pPr>
      <w:r>
        <w:rPr>
          <w:sz w:val="24"/>
        </w:rPr>
        <w:t>Hofvendahl, J. 2006</w:t>
      </w:r>
      <w:r w:rsidR="008F52D5" w:rsidRPr="00E027B6">
        <w:rPr>
          <w:sz w:val="24"/>
        </w:rPr>
        <w:t xml:space="preserve">. </w:t>
      </w:r>
      <w:r w:rsidR="008F52D5" w:rsidRPr="00FC13C4">
        <w:rPr>
          <w:i/>
          <w:sz w:val="24"/>
        </w:rPr>
        <w:t xml:space="preserve">Riskabla samtal: en analys av potentiella faror i skolans kvarts- och utvecklingssamtal. </w:t>
      </w:r>
      <w:r w:rsidR="008F52D5" w:rsidRPr="00E027B6">
        <w:rPr>
          <w:sz w:val="24"/>
        </w:rPr>
        <w:t xml:space="preserve">Diss. Linköping: Linköpings universitet. Tillgänglig på internet: </w:t>
      </w:r>
      <w:hyperlink r:id="rId6" w:history="1">
        <w:r w:rsidR="008F52D5" w:rsidRPr="00E027B6">
          <w:rPr>
            <w:sz w:val="24"/>
          </w:rPr>
          <w:t>http://urn.kb.se/resolve?urn=urn:nbn:se:liu:diva-6219</w:t>
        </w:r>
      </w:hyperlink>
      <w:r w:rsidR="008F52D5" w:rsidRPr="00E027B6">
        <w:rPr>
          <w:rStyle w:val="Normalny"/>
          <w:sz w:val="24"/>
        </w:rPr>
        <w:t xml:space="preserve"> </w:t>
      </w:r>
      <w:r w:rsidR="008F52D5" w:rsidRPr="00E027B6">
        <w:rPr>
          <w:sz w:val="24"/>
        </w:rPr>
        <w:t>(hämtad 30 september 2012)</w:t>
      </w:r>
    </w:p>
    <w:p w:rsidR="008F52D5" w:rsidRPr="00E027B6" w:rsidRDefault="00C2598C" w:rsidP="008F52D5">
      <w:pPr>
        <w:pStyle w:val="Referencelist"/>
        <w:rPr>
          <w:sz w:val="24"/>
          <w:szCs w:val="24"/>
        </w:rPr>
      </w:pPr>
      <w:r>
        <w:rPr>
          <w:sz w:val="24"/>
          <w:szCs w:val="24"/>
        </w:rPr>
        <w:t xml:space="preserve">Törnqvist, E. </w:t>
      </w:r>
      <w:r w:rsidRPr="00C2598C">
        <w:rPr>
          <w:sz w:val="24"/>
          <w:szCs w:val="24"/>
        </w:rPr>
        <w:t>1999.</w:t>
      </w:r>
      <w:r w:rsidR="008F52D5" w:rsidRPr="00C2598C">
        <w:rPr>
          <w:sz w:val="24"/>
          <w:szCs w:val="24"/>
        </w:rPr>
        <w:t xml:space="preserve"> </w:t>
      </w:r>
      <w:r w:rsidR="008F52D5" w:rsidRPr="00C2598C">
        <w:rPr>
          <w:i/>
          <w:sz w:val="24"/>
          <w:szCs w:val="24"/>
        </w:rPr>
        <w:t>Ibsen, Strindberg and the Intimate Theatre: Studies in TV Presentation</w:t>
      </w:r>
      <w:r w:rsidR="008F52D5" w:rsidRPr="00C2598C">
        <w:rPr>
          <w:sz w:val="24"/>
          <w:szCs w:val="24"/>
        </w:rPr>
        <w:t xml:space="preserve">. </w:t>
      </w:r>
      <w:r w:rsidR="008F52D5" w:rsidRPr="00E027B6">
        <w:rPr>
          <w:sz w:val="24"/>
          <w:szCs w:val="24"/>
        </w:rPr>
        <w:t>Amsterdam: Amsterdam University Press</w:t>
      </w:r>
    </w:p>
    <w:p w:rsidR="008F52D5" w:rsidRPr="00E027B6" w:rsidRDefault="00C2598C" w:rsidP="008F52D5">
      <w:pPr>
        <w:pStyle w:val="Referencelist"/>
        <w:rPr>
          <w:sz w:val="24"/>
          <w:szCs w:val="24"/>
        </w:rPr>
      </w:pPr>
      <w:r>
        <w:rPr>
          <w:sz w:val="24"/>
          <w:szCs w:val="24"/>
        </w:rPr>
        <w:t>Tranströmer, T. 2011</w:t>
      </w:r>
      <w:r w:rsidR="008F52D5" w:rsidRPr="00E027B6">
        <w:rPr>
          <w:sz w:val="24"/>
          <w:szCs w:val="24"/>
        </w:rPr>
        <w:t xml:space="preserve">. </w:t>
      </w:r>
      <w:r w:rsidR="008F52D5" w:rsidRPr="00FC13C4">
        <w:rPr>
          <w:i/>
          <w:sz w:val="24"/>
          <w:szCs w:val="24"/>
        </w:rPr>
        <w:t>Dikter och prosa 1954–2004</w:t>
      </w:r>
      <w:r w:rsidR="008F52D5" w:rsidRPr="00E027B6">
        <w:rPr>
          <w:sz w:val="24"/>
          <w:szCs w:val="24"/>
        </w:rPr>
        <w:t>. Stockholm: Albert Bonniers förlag.</w:t>
      </w:r>
    </w:p>
    <w:p w:rsidR="008F52D5" w:rsidRPr="00E027B6" w:rsidRDefault="008F52D5" w:rsidP="008F52D5">
      <w:pPr>
        <w:pStyle w:val="Referencelist"/>
        <w:rPr>
          <w:sz w:val="24"/>
          <w:szCs w:val="24"/>
          <w:lang w:val="en-GB"/>
        </w:rPr>
      </w:pPr>
      <w:r w:rsidRPr="00C2598C">
        <w:rPr>
          <w:sz w:val="24"/>
          <w:szCs w:val="24"/>
        </w:rPr>
        <w:t>Tr</w:t>
      </w:r>
      <w:proofErr w:type="spellStart"/>
      <w:r w:rsidR="00C2598C">
        <w:rPr>
          <w:sz w:val="24"/>
          <w:szCs w:val="24"/>
          <w:lang w:val="pl-PL"/>
        </w:rPr>
        <w:t>anströmer</w:t>
      </w:r>
      <w:proofErr w:type="spellEnd"/>
      <w:r w:rsidR="00C2598C">
        <w:rPr>
          <w:sz w:val="24"/>
          <w:szCs w:val="24"/>
          <w:lang w:val="pl-PL"/>
        </w:rPr>
        <w:t>, T. 2012</w:t>
      </w:r>
      <w:r w:rsidRPr="00E027B6">
        <w:rPr>
          <w:sz w:val="24"/>
          <w:szCs w:val="24"/>
          <w:lang w:val="pl-PL"/>
        </w:rPr>
        <w:t xml:space="preserve">. </w:t>
      </w:r>
      <w:r w:rsidRPr="00A41E9D">
        <w:rPr>
          <w:i/>
          <w:sz w:val="24"/>
          <w:szCs w:val="24"/>
          <w:lang w:val="pl-PL"/>
        </w:rPr>
        <w:t>Wiersze i proza 1954–2004</w:t>
      </w:r>
      <w:r w:rsidRPr="00E027B6">
        <w:rPr>
          <w:sz w:val="24"/>
          <w:szCs w:val="24"/>
          <w:lang w:val="pl-PL"/>
        </w:rPr>
        <w:t xml:space="preserve">. Przekł. L. </w:t>
      </w:r>
      <w:proofErr w:type="spellStart"/>
      <w:r w:rsidRPr="00E027B6">
        <w:rPr>
          <w:sz w:val="24"/>
          <w:szCs w:val="24"/>
          <w:lang w:val="pl-PL"/>
        </w:rPr>
        <w:t>Neuger</w:t>
      </w:r>
      <w:proofErr w:type="spellEnd"/>
      <w:r w:rsidRPr="00E027B6">
        <w:rPr>
          <w:sz w:val="24"/>
          <w:szCs w:val="24"/>
          <w:lang w:val="pl-PL"/>
        </w:rPr>
        <w:t xml:space="preserve">, M. Wasilewska-Chmura. </w:t>
      </w:r>
      <w:r w:rsidRPr="00E027B6">
        <w:rPr>
          <w:sz w:val="24"/>
          <w:szCs w:val="24"/>
          <w:lang w:val="en-GB"/>
        </w:rPr>
        <w:t xml:space="preserve">Kraków: </w:t>
      </w:r>
      <w:proofErr w:type="spellStart"/>
      <w:r w:rsidRPr="00E027B6">
        <w:rPr>
          <w:sz w:val="24"/>
          <w:szCs w:val="24"/>
          <w:lang w:val="en-GB"/>
        </w:rPr>
        <w:t>Wydawnictwo</w:t>
      </w:r>
      <w:proofErr w:type="spellEnd"/>
      <w:r w:rsidRPr="00E027B6">
        <w:rPr>
          <w:sz w:val="24"/>
          <w:szCs w:val="24"/>
          <w:lang w:val="en-GB"/>
        </w:rPr>
        <w:t xml:space="preserve"> a5.</w:t>
      </w:r>
    </w:p>
    <w:p w:rsidR="008F52D5" w:rsidRPr="00E027B6" w:rsidRDefault="008F52D5" w:rsidP="008F52D5">
      <w:pPr>
        <w:pStyle w:val="Referencelist"/>
        <w:rPr>
          <w:sz w:val="24"/>
          <w:szCs w:val="24"/>
          <w:lang w:val="en-US"/>
        </w:rPr>
      </w:pPr>
      <w:r w:rsidRPr="00E027B6">
        <w:rPr>
          <w:sz w:val="24"/>
          <w:szCs w:val="24"/>
          <w:lang w:val="en-US"/>
        </w:rPr>
        <w:t xml:space="preserve">TSB 1978: </w:t>
      </w:r>
      <w:r w:rsidRPr="00FC13C4">
        <w:rPr>
          <w:i/>
          <w:sz w:val="24"/>
          <w:szCs w:val="24"/>
          <w:lang w:val="en-US"/>
        </w:rPr>
        <w:t xml:space="preserve">The types of the Scandinavian medieval ballad. </w:t>
      </w:r>
      <w:r w:rsidRPr="00FC13C4">
        <w:rPr>
          <w:i/>
          <w:sz w:val="24"/>
          <w:szCs w:val="24"/>
          <w:lang w:val="en-GB"/>
        </w:rPr>
        <w:t>A descriptive catalogue</w:t>
      </w:r>
      <w:r w:rsidRPr="00E027B6">
        <w:rPr>
          <w:sz w:val="24"/>
          <w:szCs w:val="24"/>
          <w:lang w:val="en-GB"/>
        </w:rPr>
        <w:t xml:space="preserve">. </w:t>
      </w:r>
      <w:r w:rsidRPr="00E027B6">
        <w:rPr>
          <w:sz w:val="24"/>
          <w:szCs w:val="24"/>
          <w:lang w:val="en-US"/>
        </w:rPr>
        <w:t xml:space="preserve">Edited by Jonsson, B. R., Solheim, S. and Danielson, E., in cooperation with </w:t>
      </w:r>
      <w:proofErr w:type="spellStart"/>
      <w:r w:rsidRPr="00E027B6">
        <w:rPr>
          <w:sz w:val="24"/>
          <w:szCs w:val="24"/>
          <w:lang w:val="en-US"/>
        </w:rPr>
        <w:t>Nolsøe</w:t>
      </w:r>
      <w:proofErr w:type="spellEnd"/>
      <w:r w:rsidRPr="00E027B6">
        <w:rPr>
          <w:sz w:val="24"/>
          <w:szCs w:val="24"/>
          <w:lang w:val="en-US"/>
        </w:rPr>
        <w:t>, M., and Richmond, W. E. Oslo-Bergen-</w:t>
      </w:r>
      <w:proofErr w:type="spellStart"/>
      <w:r w:rsidRPr="00E027B6">
        <w:rPr>
          <w:sz w:val="24"/>
          <w:szCs w:val="24"/>
          <w:lang w:val="en-US"/>
        </w:rPr>
        <w:t>Tromsø</w:t>
      </w:r>
      <w:proofErr w:type="spellEnd"/>
      <w:r w:rsidRPr="00E027B6">
        <w:rPr>
          <w:sz w:val="24"/>
          <w:szCs w:val="24"/>
          <w:lang w:val="en-US"/>
        </w:rPr>
        <w:t xml:space="preserve">: </w:t>
      </w:r>
      <w:proofErr w:type="spellStart"/>
      <w:r w:rsidRPr="00E027B6">
        <w:rPr>
          <w:sz w:val="24"/>
          <w:szCs w:val="24"/>
          <w:lang w:val="en-US"/>
        </w:rPr>
        <w:t>Universitetsforlaget</w:t>
      </w:r>
      <w:proofErr w:type="spellEnd"/>
    </w:p>
    <w:p w:rsidR="008F52D5" w:rsidRDefault="008F52D5" w:rsidP="008F52D5">
      <w:pPr>
        <w:spacing w:before="100" w:beforeAutospacing="1" w:after="100" w:afterAutospacing="1" w:line="240" w:lineRule="auto"/>
        <w:rPr>
          <w:rFonts w:ascii="Times New Roman" w:hAnsi="Times New Roman"/>
          <w:sz w:val="24"/>
          <w:szCs w:val="24"/>
          <w:lang w:val="en-GB" w:eastAsia="zh-CN"/>
        </w:rPr>
      </w:pPr>
      <w:r>
        <w:rPr>
          <w:rFonts w:ascii="Times New Roman" w:hAnsi="Times New Roman"/>
          <w:sz w:val="24"/>
          <w:szCs w:val="24"/>
          <w:lang w:val="en-GB" w:eastAsia="zh-CN"/>
        </w:rPr>
        <w:t>In case you refer to more than one works of a certain author that were published in the same year, place letters a, b, c… after the year of publishing</w:t>
      </w:r>
    </w:p>
    <w:p w:rsidR="008F52D5" w:rsidRDefault="008F52D5" w:rsidP="008F52D5">
      <w:pPr>
        <w:numPr>
          <w:ilvl w:val="0"/>
          <w:numId w:val="2"/>
        </w:numPr>
        <w:spacing w:before="100" w:beforeAutospacing="1" w:after="100" w:afterAutospacing="1" w:line="240" w:lineRule="auto"/>
        <w:rPr>
          <w:rFonts w:ascii="Times New Roman" w:hAnsi="Times New Roman"/>
          <w:sz w:val="24"/>
          <w:szCs w:val="24"/>
          <w:lang w:val="pl-PL" w:eastAsia="zh-CN"/>
        </w:rPr>
      </w:pPr>
      <w:proofErr w:type="spellStart"/>
      <w:r>
        <w:rPr>
          <w:rFonts w:ascii="Times New Roman" w:hAnsi="Times New Roman"/>
          <w:sz w:val="24"/>
          <w:szCs w:val="24"/>
          <w:lang w:val="pl-PL" w:eastAsia="zh-CN"/>
        </w:rPr>
        <w:t>Articles</w:t>
      </w:r>
      <w:proofErr w:type="spellEnd"/>
      <w:r>
        <w:rPr>
          <w:rFonts w:ascii="Times New Roman" w:hAnsi="Times New Roman"/>
          <w:sz w:val="24"/>
          <w:szCs w:val="24"/>
          <w:lang w:val="pl-PL" w:eastAsia="zh-CN"/>
        </w:rPr>
        <w:t xml:space="preserve"> in </w:t>
      </w:r>
      <w:proofErr w:type="spellStart"/>
      <w:r>
        <w:rPr>
          <w:rFonts w:ascii="Times New Roman" w:hAnsi="Times New Roman"/>
          <w:sz w:val="24"/>
          <w:szCs w:val="24"/>
          <w:lang w:val="pl-PL" w:eastAsia="zh-CN"/>
        </w:rPr>
        <w:t>journals</w:t>
      </w:r>
      <w:proofErr w:type="spellEnd"/>
      <w:r>
        <w:rPr>
          <w:rFonts w:ascii="Times New Roman" w:hAnsi="Times New Roman"/>
          <w:sz w:val="24"/>
          <w:szCs w:val="24"/>
          <w:lang w:val="pl-PL" w:eastAsia="zh-CN"/>
        </w:rPr>
        <w:t>:</w:t>
      </w:r>
    </w:p>
    <w:p w:rsidR="008F52D5" w:rsidRPr="00C2598C" w:rsidRDefault="008F52D5" w:rsidP="008F52D5">
      <w:pPr>
        <w:pStyle w:val="Referencelist"/>
        <w:rPr>
          <w:sz w:val="24"/>
        </w:rPr>
      </w:pPr>
      <w:r w:rsidRPr="00C2598C">
        <w:rPr>
          <w:sz w:val="24"/>
        </w:rPr>
        <w:t xml:space="preserve">Bergman, I. </w:t>
      </w:r>
      <w:r w:rsidR="00C2598C" w:rsidRPr="00C2598C">
        <w:rPr>
          <w:sz w:val="24"/>
        </w:rPr>
        <w:t xml:space="preserve">1963, </w:t>
      </w:r>
      <w:r w:rsidRPr="00C2598C">
        <w:rPr>
          <w:sz w:val="24"/>
        </w:rPr>
        <w:t xml:space="preserve">Det är TV’s: „Drömspel” också, som äntligen kan göras!, </w:t>
      </w:r>
      <w:r w:rsidRPr="00C2598C">
        <w:rPr>
          <w:i/>
          <w:sz w:val="24"/>
        </w:rPr>
        <w:t>Röster i Radio och TV</w:t>
      </w:r>
      <w:r w:rsidR="00C2598C" w:rsidRPr="00C2598C">
        <w:rPr>
          <w:sz w:val="24"/>
        </w:rPr>
        <w:t xml:space="preserve">, </w:t>
      </w:r>
      <w:r w:rsidRPr="00C2598C">
        <w:rPr>
          <w:sz w:val="24"/>
        </w:rPr>
        <w:t>no. 17.</w:t>
      </w:r>
    </w:p>
    <w:p w:rsidR="008F52D5" w:rsidRPr="00E027B6" w:rsidRDefault="00C2598C" w:rsidP="008F52D5">
      <w:pPr>
        <w:pStyle w:val="Referencelist"/>
        <w:rPr>
          <w:sz w:val="24"/>
          <w:lang w:val="en-US"/>
        </w:rPr>
      </w:pPr>
      <w:r w:rsidRPr="00C2598C">
        <w:rPr>
          <w:sz w:val="24"/>
        </w:rPr>
        <w:t>Lakoff, R.T., Tannen, D.,</w:t>
      </w:r>
      <w:r>
        <w:rPr>
          <w:sz w:val="24"/>
        </w:rPr>
        <w:t xml:space="preserve"> 1984</w:t>
      </w:r>
      <w:r w:rsidR="008F52D5" w:rsidRPr="00C2598C">
        <w:rPr>
          <w:sz w:val="24"/>
        </w:rPr>
        <w:t xml:space="preserve">. </w:t>
      </w:r>
      <w:proofErr w:type="spellStart"/>
      <w:r w:rsidR="008F52D5" w:rsidRPr="00C2598C">
        <w:rPr>
          <w:sz w:val="24"/>
          <w:lang w:val="pl-PL"/>
        </w:rPr>
        <w:t>Conversational</w:t>
      </w:r>
      <w:proofErr w:type="spellEnd"/>
      <w:r w:rsidR="008F52D5" w:rsidRPr="00C2598C">
        <w:rPr>
          <w:sz w:val="24"/>
          <w:lang w:val="pl-PL"/>
        </w:rPr>
        <w:t xml:space="preserve"> </w:t>
      </w:r>
      <w:proofErr w:type="spellStart"/>
      <w:r w:rsidR="008F52D5" w:rsidRPr="00C2598C">
        <w:rPr>
          <w:sz w:val="24"/>
          <w:lang w:val="pl-PL"/>
        </w:rPr>
        <w:t>strategy</w:t>
      </w:r>
      <w:proofErr w:type="spellEnd"/>
      <w:r w:rsidR="008F52D5" w:rsidRPr="00C2598C">
        <w:rPr>
          <w:sz w:val="24"/>
          <w:lang w:val="pl-PL"/>
        </w:rPr>
        <w:t xml:space="preserve"> and </w:t>
      </w:r>
      <w:proofErr w:type="spellStart"/>
      <w:r w:rsidR="008F52D5" w:rsidRPr="00C2598C">
        <w:rPr>
          <w:sz w:val="24"/>
          <w:lang w:val="pl-PL"/>
        </w:rPr>
        <w:t>metastrategy</w:t>
      </w:r>
      <w:proofErr w:type="spellEnd"/>
      <w:r w:rsidR="008F52D5" w:rsidRPr="00C2598C">
        <w:rPr>
          <w:sz w:val="24"/>
          <w:lang w:val="pl-PL"/>
        </w:rPr>
        <w:t xml:space="preserve"> in a </w:t>
      </w:r>
      <w:proofErr w:type="spellStart"/>
      <w:r w:rsidR="008F52D5" w:rsidRPr="00C2598C">
        <w:rPr>
          <w:sz w:val="24"/>
          <w:lang w:val="pl-PL"/>
        </w:rPr>
        <w:t>pragmatic</w:t>
      </w:r>
      <w:proofErr w:type="spellEnd"/>
      <w:r w:rsidR="008F52D5" w:rsidRPr="00C2598C">
        <w:rPr>
          <w:sz w:val="24"/>
          <w:lang w:val="pl-PL"/>
        </w:rPr>
        <w:t xml:space="preserve"> </w:t>
      </w:r>
      <w:proofErr w:type="spellStart"/>
      <w:r w:rsidR="008F52D5" w:rsidRPr="00C2598C">
        <w:rPr>
          <w:sz w:val="24"/>
          <w:lang w:val="pl-PL"/>
        </w:rPr>
        <w:t>theory</w:t>
      </w:r>
      <w:proofErr w:type="spellEnd"/>
      <w:r w:rsidR="008F52D5" w:rsidRPr="00C2598C">
        <w:rPr>
          <w:sz w:val="24"/>
          <w:lang w:val="pl-PL"/>
        </w:rPr>
        <w:t xml:space="preserve">: The </w:t>
      </w:r>
      <w:proofErr w:type="spellStart"/>
      <w:r w:rsidR="008F52D5" w:rsidRPr="00C2598C">
        <w:rPr>
          <w:sz w:val="24"/>
          <w:lang w:val="pl-PL"/>
        </w:rPr>
        <w:t>example</w:t>
      </w:r>
      <w:proofErr w:type="spellEnd"/>
      <w:r w:rsidR="008F52D5" w:rsidRPr="00C2598C">
        <w:rPr>
          <w:sz w:val="24"/>
          <w:lang w:val="pl-PL"/>
        </w:rPr>
        <w:t xml:space="preserve"> of Scenes from a </w:t>
      </w:r>
      <w:r w:rsidR="008F52D5" w:rsidRPr="00E027B6">
        <w:rPr>
          <w:sz w:val="24"/>
          <w:lang w:val="en-US"/>
        </w:rPr>
        <w:t xml:space="preserve">marriage. </w:t>
      </w:r>
      <w:proofErr w:type="spellStart"/>
      <w:r w:rsidR="008F52D5" w:rsidRPr="00A41E9D">
        <w:rPr>
          <w:i/>
          <w:sz w:val="24"/>
          <w:lang w:val="en-US"/>
        </w:rPr>
        <w:t>Semiotica</w:t>
      </w:r>
      <w:proofErr w:type="spellEnd"/>
      <w:r w:rsidR="008F52D5" w:rsidRPr="00A41E9D">
        <w:rPr>
          <w:i/>
          <w:sz w:val="24"/>
          <w:lang w:val="en-US"/>
        </w:rPr>
        <w:t xml:space="preserve"> </w:t>
      </w:r>
      <w:r w:rsidR="008F52D5" w:rsidRPr="00E027B6">
        <w:rPr>
          <w:sz w:val="24"/>
          <w:lang w:val="en-US"/>
        </w:rPr>
        <w:t>49:3/4.</w:t>
      </w:r>
    </w:p>
    <w:p w:rsidR="008F52D5" w:rsidRDefault="008F52D5" w:rsidP="008F52D5"/>
    <w:p w:rsidR="00111783" w:rsidRDefault="00111783"/>
    <w:sectPr w:rsidR="00111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E4B6B"/>
    <w:multiLevelType w:val="multilevel"/>
    <w:tmpl w:val="AAB08F10"/>
    <w:lvl w:ilvl="0">
      <w:start w:val="1"/>
      <w:numFmt w:val="decimal"/>
      <w:pStyle w:val="1Level1heading"/>
      <w:lvlText w:val="%1."/>
      <w:lvlJc w:val="left"/>
      <w:pPr>
        <w:ind w:left="720" w:hanging="360"/>
      </w:pPr>
      <w:rPr>
        <w:rFonts w:cs="Times New Roman"/>
      </w:rPr>
    </w:lvl>
    <w:lvl w:ilvl="1">
      <w:start w:val="1"/>
      <w:numFmt w:val="decimal"/>
      <w:isLgl/>
      <w:lvlText w:val="%1.%2"/>
      <w:lvlJc w:val="left"/>
      <w:pPr>
        <w:ind w:left="780" w:hanging="4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450A5AAF"/>
    <w:multiLevelType w:val="hybridMultilevel"/>
    <w:tmpl w:val="C79C4DD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5D47377C"/>
    <w:multiLevelType w:val="hybridMultilevel"/>
    <w:tmpl w:val="9106FD1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D5"/>
    <w:rsid w:val="00033A7D"/>
    <w:rsid w:val="00111783"/>
    <w:rsid w:val="00264872"/>
    <w:rsid w:val="004260CF"/>
    <w:rsid w:val="00577C0A"/>
    <w:rsid w:val="00597981"/>
    <w:rsid w:val="006D591F"/>
    <w:rsid w:val="008F52D5"/>
    <w:rsid w:val="009F742A"/>
    <w:rsid w:val="00C2598C"/>
    <w:rsid w:val="00CE6B5E"/>
    <w:rsid w:val="00D55506"/>
    <w:rsid w:val="00D95F4B"/>
    <w:rsid w:val="00DB04D1"/>
    <w:rsid w:val="00F40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8F6CA"/>
  <w15:chartTrackingRefBased/>
  <w15:docId w15:val="{43AFB615-7475-421F-8347-E35C6473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F52D5"/>
    <w:pPr>
      <w:spacing w:after="200" w:line="276" w:lineRule="auto"/>
    </w:pPr>
    <w:rPr>
      <w:rFonts w:ascii="Calibri" w:eastAsia="Times New Roman" w:hAnsi="Calibri"/>
      <w:sz w:val="22"/>
      <w:szCs w:val="22"/>
      <w:lang w:val="sv-SE" w:eastAsia="en-US"/>
    </w:rPr>
  </w:style>
  <w:style w:type="paragraph" w:styleId="Nagwek2">
    <w:name w:val="heading 2"/>
    <w:basedOn w:val="Normalny"/>
    <w:next w:val="Normalny"/>
    <w:qFormat/>
    <w:rsid w:val="008F52D5"/>
    <w:pPr>
      <w:keepNext/>
      <w:spacing w:before="240" w:after="60"/>
      <w:outlineLvl w:val="1"/>
    </w:pPr>
    <w:rPr>
      <w:rFonts w:ascii="Arial" w:hAnsi="Arial" w:cs="Arial"/>
      <w:b/>
      <w:bCs/>
      <w:i/>
      <w:iCs/>
      <w:sz w:val="28"/>
      <w:szCs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customStyle="1" w:styleId="Bodytextwithoutindention">
    <w:name w:val="Body text without indention"/>
    <w:basedOn w:val="Normalny"/>
    <w:next w:val="Bodytextwithindention"/>
    <w:rsid w:val="008F52D5"/>
    <w:pPr>
      <w:spacing w:before="240" w:after="0"/>
      <w:jc w:val="both"/>
    </w:pPr>
    <w:rPr>
      <w:rFonts w:ascii="Times New Roman" w:eastAsia="SimSun" w:hAnsi="Times New Roman"/>
      <w:sz w:val="26"/>
      <w:szCs w:val="26"/>
      <w:lang w:val="en-US"/>
    </w:rPr>
  </w:style>
  <w:style w:type="paragraph" w:styleId="Legenda">
    <w:name w:val="caption"/>
    <w:basedOn w:val="Normalny"/>
    <w:next w:val="Bodytextwithoutindention"/>
    <w:qFormat/>
    <w:rsid w:val="008F52D5"/>
    <w:pPr>
      <w:spacing w:before="100" w:beforeAutospacing="1" w:line="240" w:lineRule="auto"/>
    </w:pPr>
    <w:rPr>
      <w:rFonts w:ascii="Times New Roman" w:hAnsi="Times New Roman"/>
      <w:b/>
      <w:bCs/>
      <w:i/>
      <w:sz w:val="20"/>
      <w:szCs w:val="18"/>
    </w:rPr>
  </w:style>
  <w:style w:type="paragraph" w:customStyle="1" w:styleId="Bodytextwithindention">
    <w:name w:val="Body text with indention"/>
    <w:basedOn w:val="Normalny"/>
    <w:rsid w:val="008F52D5"/>
    <w:pPr>
      <w:spacing w:after="0"/>
      <w:ind w:firstLine="284"/>
      <w:jc w:val="both"/>
    </w:pPr>
    <w:rPr>
      <w:rFonts w:ascii="Times New Roman" w:eastAsia="SimSun" w:hAnsi="Times New Roman"/>
      <w:sz w:val="26"/>
      <w:szCs w:val="26"/>
      <w:lang w:val="en-US"/>
    </w:rPr>
  </w:style>
  <w:style w:type="paragraph" w:customStyle="1" w:styleId="Department">
    <w:name w:val="Department"/>
    <w:basedOn w:val="Normalny"/>
    <w:next w:val="Normalny"/>
    <w:rsid w:val="008F52D5"/>
    <w:pPr>
      <w:spacing w:before="120" w:after="0" w:line="240" w:lineRule="auto"/>
      <w:jc w:val="center"/>
    </w:pPr>
    <w:rPr>
      <w:rFonts w:ascii="Times New Roman" w:eastAsia="SimSun" w:hAnsi="Times New Roman"/>
      <w:sz w:val="24"/>
      <w:szCs w:val="24"/>
      <w:lang w:val="en-GB" w:eastAsia="sv-SE"/>
    </w:rPr>
  </w:style>
  <w:style w:type="paragraph" w:customStyle="1" w:styleId="Authorsname">
    <w:name w:val="Author's name"/>
    <w:basedOn w:val="Normalny"/>
    <w:next w:val="Department"/>
    <w:rsid w:val="008F52D5"/>
    <w:pPr>
      <w:spacing w:before="360" w:after="0" w:line="240" w:lineRule="auto"/>
      <w:jc w:val="center"/>
    </w:pPr>
    <w:rPr>
      <w:rFonts w:ascii="Times New Roman" w:eastAsia="SimSun" w:hAnsi="Times New Roman"/>
      <w:sz w:val="28"/>
      <w:szCs w:val="24"/>
      <w:lang w:val="en-US"/>
    </w:rPr>
  </w:style>
  <w:style w:type="paragraph" w:customStyle="1" w:styleId="Figuretablestyle">
    <w:name w:val="Figure &amp; table style"/>
    <w:basedOn w:val="Normalny"/>
    <w:next w:val="Bodytextwithoutindention"/>
    <w:rsid w:val="008F52D5"/>
    <w:pPr>
      <w:spacing w:before="360" w:after="360" w:line="240" w:lineRule="auto"/>
    </w:pPr>
    <w:rPr>
      <w:rFonts w:ascii="Times New Roman" w:eastAsia="SimSun" w:hAnsi="Times New Roman"/>
      <w:b/>
      <w:i/>
      <w:sz w:val="28"/>
      <w:szCs w:val="24"/>
      <w:lang w:eastAsia="sv-SE"/>
    </w:rPr>
  </w:style>
  <w:style w:type="paragraph" w:customStyle="1" w:styleId="Referencestitle">
    <w:name w:val="References title"/>
    <w:basedOn w:val="Normalny"/>
    <w:next w:val="Normalny"/>
    <w:rsid w:val="008F52D5"/>
    <w:pPr>
      <w:spacing w:before="720" w:after="0" w:line="240" w:lineRule="auto"/>
    </w:pPr>
    <w:rPr>
      <w:rFonts w:ascii="Times New Roman" w:eastAsia="SimSun" w:hAnsi="Times New Roman"/>
      <w:b/>
      <w:sz w:val="28"/>
      <w:szCs w:val="24"/>
      <w:lang w:eastAsia="sv-SE"/>
    </w:rPr>
  </w:style>
  <w:style w:type="paragraph" w:customStyle="1" w:styleId="Referencelist">
    <w:name w:val="Reference list"/>
    <w:basedOn w:val="Normalny"/>
    <w:rsid w:val="008F52D5"/>
    <w:pPr>
      <w:spacing w:before="240" w:after="0" w:line="240" w:lineRule="auto"/>
      <w:jc w:val="both"/>
    </w:pPr>
    <w:rPr>
      <w:rFonts w:ascii="Times New Roman" w:eastAsia="SimSun" w:hAnsi="Times New Roman"/>
      <w:sz w:val="26"/>
      <w:szCs w:val="26"/>
      <w:lang w:eastAsia="sv-SE"/>
    </w:rPr>
  </w:style>
  <w:style w:type="paragraph" w:customStyle="1" w:styleId="1Level1heading">
    <w:name w:val="1. Level 1 heading"/>
    <w:basedOn w:val="Normalny"/>
    <w:next w:val="Bodytextwithoutindention"/>
    <w:rsid w:val="008F52D5"/>
    <w:pPr>
      <w:keepNext/>
      <w:numPr>
        <w:numId w:val="1"/>
      </w:numPr>
      <w:spacing w:before="480" w:after="120" w:line="240" w:lineRule="auto"/>
      <w:ind w:left="284" w:hanging="284"/>
      <w:outlineLvl w:val="0"/>
    </w:pPr>
    <w:rPr>
      <w:rFonts w:ascii="Times New Roman" w:eastAsia="SimSun" w:hAnsi="Times New Roman"/>
      <w:b/>
      <w:bCs/>
      <w:kern w:val="32"/>
      <w:sz w:val="32"/>
      <w:szCs w:val="24"/>
      <w:lang w:eastAsia="sv-SE"/>
    </w:rPr>
  </w:style>
  <w:style w:type="paragraph" w:customStyle="1" w:styleId="Abstracttitle">
    <w:name w:val="Abstract title"/>
    <w:basedOn w:val="Normalny"/>
    <w:next w:val="Normalny"/>
    <w:rsid w:val="008F52D5"/>
    <w:pPr>
      <w:spacing w:before="720" w:after="0" w:line="240" w:lineRule="auto"/>
    </w:pPr>
    <w:rPr>
      <w:rFonts w:ascii="Times New Roman" w:eastAsia="SimSun" w:hAnsi="Times New Roman"/>
      <w:i/>
      <w:sz w:val="26"/>
      <w:szCs w:val="20"/>
      <w:lang w:eastAsia="sv-SE"/>
    </w:rPr>
  </w:style>
  <w:style w:type="paragraph" w:customStyle="1" w:styleId="Quotations">
    <w:name w:val="Quotations"/>
    <w:basedOn w:val="Normalny"/>
    <w:rsid w:val="008F52D5"/>
    <w:pPr>
      <w:spacing w:before="360" w:after="360" w:line="240" w:lineRule="auto"/>
      <w:ind w:left="454" w:right="454"/>
      <w:jc w:val="both"/>
    </w:pPr>
    <w:rPr>
      <w:rFonts w:ascii="Times New Roman" w:eastAsia="SimSun" w:hAnsi="Times New Roman"/>
      <w:sz w:val="20"/>
      <w:szCs w:val="20"/>
      <w:lang w:val="en-GB"/>
    </w:rPr>
  </w:style>
  <w:style w:type="paragraph" w:customStyle="1" w:styleId="11Level2heading">
    <w:name w:val="1.1 Level 2 heading"/>
    <w:basedOn w:val="Nagwek2"/>
    <w:next w:val="Bodytextwithoutindention"/>
    <w:rsid w:val="008F52D5"/>
    <w:pPr>
      <w:spacing w:before="480" w:after="0" w:line="240" w:lineRule="auto"/>
    </w:pPr>
    <w:rPr>
      <w:rFonts w:ascii="Times New Roman" w:eastAsia="SimSun" w:hAnsi="Times New Roman"/>
      <w:i w:val="0"/>
      <w:lang w:eastAsia="sv-SE"/>
    </w:rPr>
  </w:style>
  <w:style w:type="paragraph" w:customStyle="1" w:styleId="Default">
    <w:name w:val="Default"/>
    <w:rsid w:val="008F52D5"/>
    <w:pPr>
      <w:autoSpaceDE w:val="0"/>
      <w:autoSpaceDN w:val="0"/>
      <w:adjustRightInd w:val="0"/>
    </w:pPr>
    <w:rPr>
      <w:color w:val="000000"/>
      <w:sz w:val="24"/>
      <w:szCs w:val="24"/>
      <w:lang w:eastAsia="zh-CN"/>
    </w:rPr>
  </w:style>
  <w:style w:type="character" w:customStyle="1" w:styleId="st">
    <w:name w:val="st"/>
    <w:basedOn w:val="Domylnaczcionkaakapitu"/>
    <w:rsid w:val="00CE6B5E"/>
  </w:style>
  <w:style w:type="character" w:styleId="Uwydatnienie">
    <w:name w:val="Emphasis"/>
    <w:qFormat/>
    <w:rsid w:val="00CE6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n.kb.se/resolve?urn=urn:nbn:se:liu:diva-6219"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noFill/>
        <a:ln w="3175">
          <a:solidFill>
            <a:srgbClr val="000000"/>
          </a:solidFill>
          <a:prstDash val="solid"/>
        </a:ln>
      </c:spPr>
    </c:sideWall>
    <c:backWall>
      <c:thickness val="0"/>
      <c:spPr>
        <a:noFill/>
        <a:ln w="3175">
          <a:solidFill>
            <a:srgbClr val="000000"/>
          </a:solidFill>
          <a:prstDash val="solid"/>
        </a:ln>
      </c:spPr>
    </c:backWall>
    <c:plotArea>
      <c:layout>
        <c:manualLayout>
          <c:layoutTarget val="inner"/>
          <c:xMode val="edge"/>
          <c:yMode val="edge"/>
          <c:x val="6.2015503875968991E-2"/>
          <c:y val="5.2631578947368418E-2"/>
          <c:w val="0.91860465116279066"/>
          <c:h val="0.73684210526315785"/>
        </c:manualLayout>
      </c:layout>
      <c:bar3DChart>
        <c:barDir val="col"/>
        <c:grouping val="clustered"/>
        <c:varyColors val="0"/>
        <c:ser>
          <c:idx val="0"/>
          <c:order val="0"/>
          <c:tx>
            <c:strRef>
              <c:f>Sheet1!$B$1</c:f>
              <c:strCache>
                <c:ptCount val="1"/>
                <c:pt idx="0">
                  <c:v>spoken</c:v>
                </c:pt>
              </c:strCache>
            </c:strRef>
          </c:tx>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8">
              <a:solidFill>
                <a:srgbClr val="000000"/>
              </a:solidFill>
              <a:prstDash val="solid"/>
            </a:ln>
          </c:spPr>
          <c:invertIfNegative val="0"/>
          <c:cat>
            <c:strRef>
              <c:f>Sheet1!$A$2:$A$5</c:f>
              <c:strCache>
                <c:ptCount val="4"/>
                <c:pt idx="0">
                  <c:v>Language 1</c:v>
                </c:pt>
                <c:pt idx="1">
                  <c:v>Language2</c:v>
                </c:pt>
                <c:pt idx="2">
                  <c:v>Language 3</c:v>
                </c:pt>
                <c:pt idx="3">
                  <c:v>Language 4</c:v>
                </c:pt>
              </c:strCache>
            </c:strRef>
          </c:cat>
          <c:val>
            <c:numRef>
              <c:f>Sheet1!$B$2:$B$5</c:f>
              <c:numCache>
                <c:formatCode>General</c:formatCode>
                <c:ptCount val="4"/>
                <c:pt idx="0">
                  <c:v>8.5</c:v>
                </c:pt>
                <c:pt idx="1">
                  <c:v>3.7</c:v>
                </c:pt>
                <c:pt idx="2">
                  <c:v>3.5</c:v>
                </c:pt>
                <c:pt idx="3">
                  <c:v>0.3</c:v>
                </c:pt>
              </c:numCache>
            </c:numRef>
          </c:val>
          <c:extLst>
            <c:ext xmlns:c16="http://schemas.microsoft.com/office/drawing/2014/chart" uri="{C3380CC4-5D6E-409C-BE32-E72D297353CC}">
              <c16:uniqueId val="{00000000-3600-4175-A94F-A721F444E376}"/>
            </c:ext>
          </c:extLst>
        </c:ser>
        <c:ser>
          <c:idx val="1"/>
          <c:order val="1"/>
          <c:tx>
            <c:strRef>
              <c:f>Sheet1!$C$1</c:f>
              <c:strCache>
                <c:ptCount val="1"/>
                <c:pt idx="0">
                  <c:v>written</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8">
              <a:solidFill>
                <a:srgbClr val="000000"/>
              </a:solidFill>
              <a:prstDash val="solid"/>
            </a:ln>
          </c:spPr>
          <c:invertIfNegative val="0"/>
          <c:cat>
            <c:strRef>
              <c:f>Sheet1!$A$2:$A$5</c:f>
              <c:strCache>
                <c:ptCount val="4"/>
                <c:pt idx="0">
                  <c:v>Language 1</c:v>
                </c:pt>
                <c:pt idx="1">
                  <c:v>Language2</c:v>
                </c:pt>
                <c:pt idx="2">
                  <c:v>Language 3</c:v>
                </c:pt>
                <c:pt idx="3">
                  <c:v>Language 4</c:v>
                </c:pt>
              </c:strCache>
            </c:strRef>
          </c:cat>
          <c:val>
            <c:numRef>
              <c:f>Sheet1!$C$2:$C$5</c:f>
              <c:numCache>
                <c:formatCode>General</c:formatCode>
                <c:ptCount val="4"/>
                <c:pt idx="0">
                  <c:v>4.2</c:v>
                </c:pt>
                <c:pt idx="1">
                  <c:v>7.3</c:v>
                </c:pt>
                <c:pt idx="2">
                  <c:v>2.8</c:v>
                </c:pt>
                <c:pt idx="3">
                  <c:v>1.5</c:v>
                </c:pt>
              </c:numCache>
            </c:numRef>
          </c:val>
          <c:extLst>
            <c:ext xmlns:c16="http://schemas.microsoft.com/office/drawing/2014/chart" uri="{C3380CC4-5D6E-409C-BE32-E72D297353CC}">
              <c16:uniqueId val="{00000001-3600-4175-A94F-A721F444E376}"/>
            </c:ext>
          </c:extLst>
        </c:ser>
        <c:dLbls>
          <c:showLegendKey val="0"/>
          <c:showVal val="0"/>
          <c:showCatName val="0"/>
          <c:showSerName val="0"/>
          <c:showPercent val="0"/>
          <c:showBubbleSize val="0"/>
        </c:dLbls>
        <c:gapWidth val="150"/>
        <c:shape val="box"/>
        <c:axId val="610994991"/>
        <c:axId val="1"/>
        <c:axId val="0"/>
      </c:bar3DChart>
      <c:catAx>
        <c:axId val="610994991"/>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997" b="0" i="0" u="none" strike="noStrike" baseline="0">
                <a:solidFill>
                  <a:srgbClr val="000000"/>
                </a:solidFill>
                <a:latin typeface="Arial"/>
                <a:ea typeface="Arial"/>
                <a:cs typeface="Arial"/>
              </a:defRPr>
            </a:pPr>
            <a:endParaRPr lang="pl-PL"/>
          </a:p>
        </c:txPr>
        <c:crossAx val="1"/>
        <c:crosses val="autoZero"/>
        <c:auto val="1"/>
        <c:lblAlgn val="ctr"/>
        <c:lblOffset val="100"/>
        <c:tickLblSkip val="1"/>
        <c:tickMarkSkip val="1"/>
        <c:noMultiLvlLbl val="0"/>
      </c:catAx>
      <c:valAx>
        <c:axId val="1"/>
        <c:scaling>
          <c:orientation val="minMax"/>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97" b="1" i="1" u="none" strike="noStrike" baseline="0">
                <a:solidFill>
                  <a:srgbClr val="000000"/>
                </a:solidFill>
                <a:latin typeface="Arial"/>
                <a:ea typeface="Arial"/>
                <a:cs typeface="Arial"/>
              </a:defRPr>
            </a:pPr>
            <a:endParaRPr lang="pl-PL"/>
          </a:p>
        </c:txPr>
        <c:crossAx val="610994991"/>
        <c:crosses val="autoZero"/>
        <c:crossBetween val="between"/>
      </c:valAx>
      <c:spPr>
        <a:noFill/>
        <a:ln w="25335">
          <a:noFill/>
        </a:ln>
      </c:spPr>
    </c:plotArea>
    <c:plotVisOnly val="1"/>
    <c:dispBlanksAs val="gap"/>
    <c:showDLblsOverMax val="0"/>
  </c:chart>
  <c:spPr>
    <a:gradFill rotWithShape="0">
      <a:gsLst>
        <a:gs pos="0">
          <a:srgbClr xmlns:mc="http://schemas.openxmlformats.org/markup-compatibility/2006" xmlns:a14="http://schemas.microsoft.com/office/drawing/2010/main" val="0C0C0C" mc:Ignorable="a14" a14:legacySpreadsheetColorIndex="78">
            <a:gamma/>
            <a:shade val="46275"/>
            <a:invGamma/>
          </a:srgbClr>
        </a:gs>
        <a:gs pos="50000">
          <a:srgbClr xmlns:mc="http://schemas.openxmlformats.org/markup-compatibility/2006" xmlns:a14="http://schemas.microsoft.com/office/drawing/2010/main" val="FFFFFF" mc:Ignorable="a14" a14:legacySpreadsheetColorIndex="78"/>
        </a:gs>
        <a:gs pos="100000">
          <a:srgbClr xmlns:mc="http://schemas.openxmlformats.org/markup-compatibility/2006" xmlns:a14="http://schemas.microsoft.com/office/drawing/2010/main" val="0C0C0C" mc:Ignorable="a14" a14:legacySpreadsheetColorIndex="78">
            <a:gamma/>
            <a:shade val="46275"/>
            <a:invGamma/>
          </a:srgbClr>
        </a:gs>
      </a:gsLst>
      <a:lin ang="2700000" scaled="1"/>
    </a:gradFill>
    <a:ln>
      <a:noFill/>
    </a:ln>
  </c:spPr>
  <c:txPr>
    <a:bodyPr/>
    <a:lstStyle/>
    <a:p>
      <a:pPr>
        <a:defRPr sz="997" b="0" i="0" u="none" strike="noStrike" baseline="0">
          <a:solidFill>
            <a:srgbClr val="000000"/>
          </a:solidFill>
          <a:latin typeface="Arial"/>
          <a:ea typeface="Arial"/>
          <a:cs typeface="Arial"/>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3317</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3862</CharactersWithSpaces>
  <SharedDoc>false</SharedDoc>
  <HLinks>
    <vt:vector size="6" baseType="variant">
      <vt:variant>
        <vt:i4>851974</vt:i4>
      </vt:variant>
      <vt:variant>
        <vt:i4>9</vt:i4>
      </vt:variant>
      <vt:variant>
        <vt:i4>0</vt:i4>
      </vt:variant>
      <vt:variant>
        <vt:i4>5</vt:i4>
      </vt:variant>
      <vt:variant>
        <vt:lpwstr>http://urn.kb.se/resolve?urn=urn:nbn:se:liu:diva-6219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Maciejewski</dc:creator>
  <cp:keywords/>
  <cp:lastModifiedBy>Karolina Piasecka</cp:lastModifiedBy>
  <cp:revision>3</cp:revision>
  <dcterms:created xsi:type="dcterms:W3CDTF">2019-10-08T07:49:00Z</dcterms:created>
  <dcterms:modified xsi:type="dcterms:W3CDTF">2019-10-08T07:50:00Z</dcterms:modified>
</cp:coreProperties>
</file>