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B25A" w14:textId="77777777" w:rsidR="00FF06D2" w:rsidRPr="004A23DA" w:rsidRDefault="00FF06D2" w:rsidP="00FF06D2">
      <w:pPr>
        <w:pStyle w:val="Nagwek1"/>
      </w:pPr>
      <w:bookmarkStart w:id="0" w:name="_Toc158369659"/>
      <w:bookmarkStart w:id="1" w:name="_Hlk146544355"/>
      <w:r w:rsidRPr="004A23DA">
        <w:t>STRESZCZENIE</w:t>
      </w:r>
      <w:bookmarkEnd w:id="0"/>
    </w:p>
    <w:p w14:paraId="0083E2CB" w14:textId="77777777" w:rsidR="00FF06D2" w:rsidRDefault="00FF06D2" w:rsidP="00FF06D2">
      <w:pPr>
        <w:pStyle w:val="tg"/>
      </w:pPr>
      <w:bookmarkStart w:id="2" w:name="_Hlk146620445"/>
      <w:r>
        <w:t>Główny p</w:t>
      </w:r>
      <w:r w:rsidRPr="004021D9">
        <w:t xml:space="preserve">roblem badawczy </w:t>
      </w:r>
      <w:r>
        <w:t xml:space="preserve">pracy oscyluje wokół </w:t>
      </w:r>
      <w:r w:rsidRPr="004021D9">
        <w:t>określeni</w:t>
      </w:r>
      <w:r>
        <w:t>a</w:t>
      </w:r>
      <w:r w:rsidRPr="004021D9">
        <w:t xml:space="preserve"> charakteru prawnego administracyjnych kar pieniężnych nakładanych przez polskie organy kontrol</w:t>
      </w:r>
      <w:r>
        <w:t>n</w:t>
      </w:r>
      <w:r w:rsidRPr="004021D9">
        <w:t>e za naruszenia w transporcie drogowym</w:t>
      </w:r>
      <w:r>
        <w:t xml:space="preserve"> oraz</w:t>
      </w:r>
      <w:r w:rsidRPr="004021D9">
        <w:t xml:space="preserve"> </w:t>
      </w:r>
      <w:r>
        <w:t>u</w:t>
      </w:r>
      <w:r w:rsidRPr="004021D9">
        <w:t xml:space="preserve">stalenie, czy stanowią one sankcje administracyjne, sankcje represyjne (karne </w:t>
      </w:r>
      <w:r w:rsidRPr="004021D9">
        <w:rPr>
          <w:i/>
          <w:iCs/>
        </w:rPr>
        <w:t>sensu largo</w:t>
      </w:r>
      <w:r w:rsidRPr="004021D9">
        <w:t>), czy też mają charakter hybrydowy, tj. administracyjno-karny lub należą do prawa administracyjnego karnego.</w:t>
      </w:r>
      <w:r>
        <w:t xml:space="preserve"> Należy wskazać, że ich charakteru nie wyznacza wyłącznie formalna kwalifikacja do gałęzi prawa administracyjnego, ale również inne kryteria. </w:t>
      </w:r>
    </w:p>
    <w:p w14:paraId="5EA02CC8" w14:textId="77777777" w:rsidR="00FF06D2" w:rsidRPr="004021D9" w:rsidRDefault="00FF06D2" w:rsidP="00FF06D2">
      <w:pPr>
        <w:pStyle w:val="tg"/>
      </w:pPr>
      <w:r>
        <w:t>O</w:t>
      </w:r>
      <w:r w:rsidRPr="00F2237C">
        <w:t>kreślenie charakteru administracyjnych kar pieniężnych</w:t>
      </w:r>
      <w:r>
        <w:t xml:space="preserve">, a zatem rozwiązane głównego problemu badawczego, powinno nastąpić w oparciu o konkretne kryteria, a to wymaga ich ustalenia. W konsekwencji zagadnienie badawcze o charakterze pomocniczym w stosunku do głównego problemu stanowi próba ustalenie kryteriów </w:t>
      </w:r>
      <w:r w:rsidRPr="00F2237C">
        <w:t>w oparciu o które powinno następować określenie charakteru (istoty) administracyjnych kar pieniężnych</w:t>
      </w:r>
      <w:r>
        <w:t>.</w:t>
      </w:r>
    </w:p>
    <w:p w14:paraId="41E2E6D9" w14:textId="77777777" w:rsidR="00FF06D2" w:rsidRDefault="00FF06D2" w:rsidP="00FF06D2">
      <w:pPr>
        <w:pStyle w:val="tg"/>
        <w:ind w:firstLine="0"/>
      </w:pPr>
      <w:r w:rsidRPr="004021D9">
        <w:t>W pracy staram się wykazać, że określenie charakteru administracyjnych kar pieniężnych stanowi wyjście do rozważań nad kluczowymi kwestiami związanymi z ich stosowaniem, w tym</w:t>
      </w:r>
      <w:r>
        <w:t xml:space="preserve"> przede wszystkim standardami i </w:t>
      </w:r>
      <w:r w:rsidRPr="004021D9">
        <w:t>gwarancjami oraz</w:t>
      </w:r>
      <w:r>
        <w:t xml:space="preserve"> </w:t>
      </w:r>
      <w:r w:rsidRPr="004021D9">
        <w:t>wzorcami konstytucyjnymi</w:t>
      </w:r>
      <w:r>
        <w:t xml:space="preserve"> i konwencyjnymi</w:t>
      </w:r>
      <w:r w:rsidRPr="004021D9">
        <w:t xml:space="preserve">, z </w:t>
      </w:r>
      <w:r>
        <w:t>którymi muszą być one zgodne. Konsekwencję tego stanowi sformułowanie drugiego szczególnego problemu badawczego, który stanowi określenie, czy odpowiedzialność za delikty administracyjne w transporcie drogowym zagrożone administracyjnymi karami pieniężnymi ma charakter obiektywny</w:t>
      </w:r>
      <w:r w:rsidRPr="004021D9">
        <w:t xml:space="preserve">, czy też oparta </w:t>
      </w:r>
      <w:r>
        <w:t xml:space="preserve">jest </w:t>
      </w:r>
      <w:r w:rsidRPr="004021D9">
        <w:t xml:space="preserve">na zasadzie winy oraz jakie znaczenie ma określenie </w:t>
      </w:r>
      <w:r>
        <w:t xml:space="preserve">okoliczności ją </w:t>
      </w:r>
      <w:r w:rsidRPr="004021D9">
        <w:t xml:space="preserve">wyłączających oraz przesłanek odstępowania od nakładania administracyjnych kar pieniężnych. </w:t>
      </w:r>
    </w:p>
    <w:p w14:paraId="38BEF13E" w14:textId="77777777" w:rsidR="00FF06D2" w:rsidRDefault="00FF06D2" w:rsidP="00FF06D2">
      <w:pPr>
        <w:pStyle w:val="tg"/>
      </w:pPr>
      <w:r w:rsidRPr="004021D9">
        <w:t>Wybór tematu wynika z tego, że zarówno w piśmiennictwie prawniczym, jak i praktyce organów</w:t>
      </w:r>
      <w:r>
        <w:t xml:space="preserve"> </w:t>
      </w:r>
      <w:r w:rsidRPr="004021D9">
        <w:t>oraz orzecznic</w:t>
      </w:r>
      <w:r>
        <w:t xml:space="preserve">twie sądowym istnieją istotne rozbieżności co do charakteru odpowiedzialności za delikty administracyjne zagrożone karami pieniężnymi, a w konsekwencji co do tego, czy jest to odpowiedzialność obiektywna, czy subiektywna. To </w:t>
      </w:r>
      <w:r w:rsidRPr="004021D9">
        <w:t xml:space="preserve">implikuje liczne kwestie związane z ich stosowaniem. </w:t>
      </w:r>
    </w:p>
    <w:p w14:paraId="1039AC45" w14:textId="77777777" w:rsidR="00FF06D2" w:rsidRDefault="00FF06D2" w:rsidP="00FF06D2">
      <w:pPr>
        <w:pStyle w:val="tg"/>
      </w:pPr>
      <w:r w:rsidRPr="004021D9">
        <w:t xml:space="preserve">Celem pracy jest </w:t>
      </w:r>
      <w:r>
        <w:t xml:space="preserve">próba </w:t>
      </w:r>
      <w:r w:rsidRPr="004021D9">
        <w:t>wskazani</w:t>
      </w:r>
      <w:r>
        <w:t>a</w:t>
      </w:r>
      <w:r w:rsidRPr="004021D9">
        <w:t xml:space="preserve"> kryteriów</w:t>
      </w:r>
      <w:r>
        <w:t>, w oparciu o które powinno następować określenie charakteru administracyjnych kar pieniężnych.</w:t>
      </w:r>
      <w:r w:rsidRPr="00597AEF">
        <w:t xml:space="preserve"> </w:t>
      </w:r>
      <w:r w:rsidRPr="004021D9">
        <w:t>Zwracam uwagę na to, że często wskazywane w orzecznictwie i piśmiennictwie wyłącznie kryterium głównej funkcji sankcji (deklarowanej przez ustawodawcę) jest niewystarczając</w:t>
      </w:r>
      <w:r>
        <w:t xml:space="preserve">e i </w:t>
      </w:r>
      <w:r w:rsidRPr="004021D9">
        <w:t>prowadz</w:t>
      </w:r>
      <w:r>
        <w:t>i</w:t>
      </w:r>
      <w:r w:rsidRPr="004021D9">
        <w:t xml:space="preserve"> do błędnych rezultatów.</w:t>
      </w:r>
      <w:r>
        <w:t xml:space="preserve"> Kryteriami w oparciu o które powinno następować </w:t>
      </w:r>
      <w:r w:rsidRPr="00EF73AA">
        <w:t xml:space="preserve">określenie charakteru administracyjnych kar </w:t>
      </w:r>
      <w:r w:rsidRPr="00EF73AA">
        <w:lastRenderedPageBreak/>
        <w:t>pieniężnych są: kwalifikacja kar pieniężnych do określonej gałęzi prawa, charakter naruszenia, w ramach którego należy uwzględnić przedmiot ochrony, deklarowany przez ustawodawcę cel ich stosowania, ich rzeczywist</w:t>
      </w:r>
      <w:r>
        <w:t>ą</w:t>
      </w:r>
      <w:r w:rsidRPr="00EF73AA">
        <w:t xml:space="preserve"> funkcj</w:t>
      </w:r>
      <w:r>
        <w:t>ę</w:t>
      </w:r>
      <w:r w:rsidRPr="00EF73AA">
        <w:t xml:space="preserve"> oraz stopień dolegliwości, a także praktyka stosowania przez organy i sądy. Na zdefiniowanie charakteru kar pieniężnych mogą mieć wpływ również argumenty natury historycznej</w:t>
      </w:r>
      <w:r>
        <w:t>, a także</w:t>
      </w:r>
      <w:r w:rsidRPr="00EF73AA">
        <w:t xml:space="preserve"> </w:t>
      </w:r>
      <w:r>
        <w:t>wnioskowanie z podobieństwa (</w:t>
      </w:r>
      <w:proofErr w:type="spellStart"/>
      <w:r w:rsidRPr="00AF1171">
        <w:rPr>
          <w:i/>
          <w:iCs/>
        </w:rPr>
        <w:t>agumentum</w:t>
      </w:r>
      <w:proofErr w:type="spellEnd"/>
      <w:r w:rsidRPr="00AF1171">
        <w:rPr>
          <w:i/>
          <w:iCs/>
        </w:rPr>
        <w:t xml:space="preserve"> a simile</w:t>
      </w:r>
      <w:r>
        <w:t>)</w:t>
      </w:r>
      <w:r w:rsidRPr="00EF73AA">
        <w:t>. Przy tym kryteria te nie zawsze muszą być spełnione łącznie. W</w:t>
      </w:r>
      <w:r>
        <w:t> </w:t>
      </w:r>
      <w:r w:rsidRPr="00EF73AA">
        <w:t>przypadku pierwszego kryterium – kwalifikacji kary w prawie krajowym, to nie stanowi ona kryterium decydującego</w:t>
      </w:r>
      <w:r w:rsidRPr="00155C79">
        <w:t>, chyba że sankcj</w:t>
      </w:r>
      <w:r>
        <w:t>a</w:t>
      </w:r>
      <w:r w:rsidRPr="00155C79">
        <w:t xml:space="preserve"> został</w:t>
      </w:r>
      <w:r>
        <w:t>a</w:t>
      </w:r>
      <w:r w:rsidRPr="00155C79">
        <w:t xml:space="preserve"> wprost zakwalifikowan</w:t>
      </w:r>
      <w:r>
        <w:t>a</w:t>
      </w:r>
      <w:r w:rsidRPr="00155C79">
        <w:t xml:space="preserve"> przez ustawodawcę jako karn</w:t>
      </w:r>
      <w:r>
        <w:t>a</w:t>
      </w:r>
      <w:r w:rsidRPr="00155C79">
        <w:t xml:space="preserve"> i wówczas nie ma potrzeby badania </w:t>
      </w:r>
      <w:r>
        <w:t>jej</w:t>
      </w:r>
      <w:r w:rsidRPr="00155C79">
        <w:t xml:space="preserve"> charakteru w</w:t>
      </w:r>
      <w:r>
        <w:t> </w:t>
      </w:r>
      <w:r w:rsidRPr="00155C79">
        <w:t>oparciu o pozostałe kryteria</w:t>
      </w:r>
      <w:r>
        <w:t>. W przypadku kolejnych kryteriów, może wystarczyć, że spełnione są tylko niektóre z nich, w szczególności samodzielnie przesądzać o charakterze kary może kryterium stopnia jej dolegliwości. Na ogół jednak, to nie analiza pojedynczych kryteriów, ale dopiero wzięcie pod uwagę wszystkich ich łącznie, będzie o</w:t>
      </w:r>
      <w:r w:rsidRPr="0045535D">
        <w:t>bjaśnia</w:t>
      </w:r>
      <w:r>
        <w:t>ć</w:t>
      </w:r>
      <w:r w:rsidRPr="0045535D">
        <w:t xml:space="preserve"> istotę administracyjnych kar pieniężnych.</w:t>
      </w:r>
      <w:r>
        <w:t xml:space="preserve"> Należy przy tym zwrócić uwagę, że powyższe kryteria (za wyjątkiem formalnej kwalifikacji do określnej gałęzi prawa) nie zawsze są jednoznaczne i w pełni miarodajne. Opierają się one na dorobku doktryny i orzecznictwa, przede wszystkim </w:t>
      </w:r>
      <w:proofErr w:type="spellStart"/>
      <w:r>
        <w:t>ETPCz</w:t>
      </w:r>
      <w:proofErr w:type="spellEnd"/>
      <w:r>
        <w:t xml:space="preserve"> i TSUE (tzw. kryteria </w:t>
      </w:r>
      <w:proofErr w:type="spellStart"/>
      <w:r w:rsidRPr="007B7C45">
        <w:rPr>
          <w:i/>
          <w:iCs/>
        </w:rPr>
        <w:t>Engel</w:t>
      </w:r>
      <w:proofErr w:type="spellEnd"/>
      <w:r>
        <w:t>).</w:t>
      </w:r>
    </w:p>
    <w:p w14:paraId="0F929741" w14:textId="77777777" w:rsidR="00FF06D2" w:rsidRPr="00E53AF3" w:rsidRDefault="00FF06D2" w:rsidP="00FF06D2">
      <w:pPr>
        <w:pStyle w:val="tg"/>
        <w:ind w:firstLine="708"/>
      </w:pPr>
      <w:r w:rsidRPr="00E53AF3">
        <w:t xml:space="preserve">Analiza w oparciu o powyższe kryteria pozwoliła na </w:t>
      </w:r>
      <w:r>
        <w:t>zajęcie stanowiska</w:t>
      </w:r>
      <w:r w:rsidRPr="00E53AF3">
        <w:t>, że mają one charakter hybrydowy, tj.</w:t>
      </w:r>
      <w:r>
        <w:t> </w:t>
      </w:r>
      <w:r w:rsidRPr="00E53AF3">
        <w:t>administracyjno-karny. Z pewnością postępowania ich dotyczące nie stanowią „klasycznych spraw administracyjnych” (</w:t>
      </w:r>
      <w:r>
        <w:t xml:space="preserve">ang. </w:t>
      </w:r>
      <w:r w:rsidRPr="00E53AF3">
        <w:t>„</w:t>
      </w:r>
      <w:proofErr w:type="spellStart"/>
      <w:r w:rsidRPr="00E53AF3">
        <w:rPr>
          <w:i/>
          <w:iCs/>
        </w:rPr>
        <w:t>classic</w:t>
      </w:r>
      <w:proofErr w:type="spellEnd"/>
      <w:r w:rsidRPr="00E53AF3">
        <w:rPr>
          <w:i/>
          <w:iCs/>
        </w:rPr>
        <w:t xml:space="preserve"> </w:t>
      </w:r>
      <w:proofErr w:type="spellStart"/>
      <w:r w:rsidRPr="00E53AF3">
        <w:rPr>
          <w:i/>
          <w:iCs/>
        </w:rPr>
        <w:t>exercise</w:t>
      </w:r>
      <w:proofErr w:type="spellEnd"/>
      <w:r w:rsidRPr="00E53AF3">
        <w:rPr>
          <w:i/>
          <w:iCs/>
        </w:rPr>
        <w:t xml:space="preserve"> of </w:t>
      </w:r>
      <w:proofErr w:type="spellStart"/>
      <w:r w:rsidRPr="00E53AF3">
        <w:rPr>
          <w:i/>
          <w:iCs/>
        </w:rPr>
        <w:t>administrative</w:t>
      </w:r>
      <w:proofErr w:type="spellEnd"/>
      <w:r w:rsidRPr="00E53AF3">
        <w:rPr>
          <w:i/>
          <w:iCs/>
        </w:rPr>
        <w:t xml:space="preserve"> </w:t>
      </w:r>
      <w:proofErr w:type="spellStart"/>
      <w:r w:rsidRPr="00E53AF3">
        <w:rPr>
          <w:i/>
          <w:iCs/>
        </w:rPr>
        <w:t>discretion</w:t>
      </w:r>
      <w:proofErr w:type="spellEnd"/>
      <w:r w:rsidRPr="00E53AF3">
        <w:t xml:space="preserve">”), natomiast również nie wchodzą w zakres „sedna prawa karnego” (ang. </w:t>
      </w:r>
      <w:proofErr w:type="spellStart"/>
      <w:r w:rsidRPr="00E53AF3">
        <w:rPr>
          <w:i/>
          <w:iCs/>
        </w:rPr>
        <w:t>core</w:t>
      </w:r>
      <w:proofErr w:type="spellEnd"/>
      <w:r w:rsidRPr="00E53AF3">
        <w:rPr>
          <w:i/>
          <w:iCs/>
        </w:rPr>
        <w:t xml:space="preserve"> of </w:t>
      </w:r>
      <w:proofErr w:type="spellStart"/>
      <w:r w:rsidRPr="00E53AF3">
        <w:rPr>
          <w:i/>
          <w:iCs/>
        </w:rPr>
        <w:t>rimnal</w:t>
      </w:r>
      <w:proofErr w:type="spellEnd"/>
      <w:r w:rsidRPr="00E53AF3">
        <w:rPr>
          <w:i/>
          <w:iCs/>
        </w:rPr>
        <w:t xml:space="preserve"> law</w:t>
      </w:r>
      <w:r w:rsidRPr="00E53AF3">
        <w:t xml:space="preserve">). Dlatego stanowią one hybrydę, z którą problem ma zarówno nauka, jak i praktyka, z uwagi na przywiązanie do podziału na tradycyjne gałęzie prawa (prawo karne, administracyjne i cywilne). </w:t>
      </w:r>
      <w:r>
        <w:t>Z naukowego punktu widzenia, instytucja administracyjnych kar pieniężnych stanowi zagadnienie interdyscyplinarne, wspólne prawu administracyjnemu i karnemu.</w:t>
      </w:r>
    </w:p>
    <w:p w14:paraId="05C15755" w14:textId="77777777" w:rsidR="00FF06D2" w:rsidRPr="00E53AF3" w:rsidRDefault="00FF06D2" w:rsidP="00FF06D2">
      <w:pPr>
        <w:pStyle w:val="tg"/>
        <w:ind w:firstLine="708"/>
      </w:pPr>
      <w:r w:rsidRPr="00E53AF3">
        <w:t>Następstwem ustalenia charakteru (istoty) administracyjnych kar pieniężnych w</w:t>
      </w:r>
      <w:r>
        <w:t> </w:t>
      </w:r>
      <w:r w:rsidRPr="00E53AF3">
        <w:t>transporcie drogowym jest ustalenie, że muszą one być stosowane z odpowiednim zachowaniem standardów i gwarancji właściwych dla sprawy karnej w autonomicznym konwencyjnym i konstytucyjnym rozumieniu, co jednak nie wyklucza zachowania odrębności tego modelu odpowiedzialności i jej realizacji w procedurze formalnie administracyjnej.</w:t>
      </w:r>
    </w:p>
    <w:p w14:paraId="65400CA0" w14:textId="77777777" w:rsidR="00FF06D2" w:rsidRPr="00E53AF3" w:rsidRDefault="00FF06D2" w:rsidP="00FF06D2">
      <w:pPr>
        <w:pStyle w:val="tg"/>
      </w:pPr>
      <w:r w:rsidRPr="00E53AF3">
        <w:t>Przyjęte w pracy metody badawcze pozwoliły</w:t>
      </w:r>
      <w:r>
        <w:t xml:space="preserve"> mi</w:t>
      </w:r>
      <w:r w:rsidRPr="00E53AF3">
        <w:t xml:space="preserve"> dojść do wniosku, że ponoszenie odpowiedzialności za delikty administracyjne zagrożone administracyjnymi karami pieniężnymi wymaga indywidualizacji. Za niedopuszczalne i niezgodne z</w:t>
      </w:r>
      <w:r>
        <w:t> </w:t>
      </w:r>
      <w:r w:rsidRPr="00E53AF3">
        <w:t xml:space="preserve">zasadą </w:t>
      </w:r>
      <w:r w:rsidRPr="00E53AF3">
        <w:lastRenderedPageBreak/>
        <w:t>proporcjonalności należy uznać nakładanie sztywno określonych administracyjnych kar pieniężnych bez uwzględnienia indywidualnych okoliczności naruszenia.</w:t>
      </w:r>
    </w:p>
    <w:p w14:paraId="65315188" w14:textId="77777777" w:rsidR="00FF06D2" w:rsidRPr="00E53AF3" w:rsidRDefault="00FF06D2" w:rsidP="00FF06D2">
      <w:pPr>
        <w:pStyle w:val="tg"/>
        <w:ind w:firstLine="708"/>
      </w:pPr>
      <w:r w:rsidRPr="00E53AF3">
        <w:t>W oparciu o rozważania</w:t>
      </w:r>
      <w:r>
        <w:t xml:space="preserve"> i przeprowadzone analizy</w:t>
      </w:r>
      <w:r w:rsidRPr="00E53AF3">
        <w:t xml:space="preserve"> przedstawione w pracy</w:t>
      </w:r>
      <w:r>
        <w:t>,</w:t>
      </w:r>
      <w:r w:rsidRPr="00E53AF3">
        <w:t xml:space="preserve"> uzasadnione stało się sformułowanie postulatów</w:t>
      </w:r>
      <w:r w:rsidRPr="00E53AF3">
        <w:rPr>
          <w:i/>
          <w:iCs/>
        </w:rPr>
        <w:t xml:space="preserve"> de lege </w:t>
      </w:r>
      <w:proofErr w:type="spellStart"/>
      <w:r w:rsidRPr="00E53AF3">
        <w:rPr>
          <w:i/>
          <w:iCs/>
        </w:rPr>
        <w:t>ferenda</w:t>
      </w:r>
      <w:proofErr w:type="spellEnd"/>
      <w:r w:rsidRPr="00E53AF3">
        <w:t>.</w:t>
      </w:r>
    </w:p>
    <w:p w14:paraId="3011AE77" w14:textId="77777777" w:rsidR="00FF06D2" w:rsidRDefault="00FF06D2" w:rsidP="00FF06D2">
      <w:pPr>
        <w:pStyle w:val="tg"/>
        <w:ind w:firstLine="0"/>
      </w:pPr>
      <w:r w:rsidRPr="00E53AF3">
        <w:tab/>
        <w:t xml:space="preserve">Pierwszy </w:t>
      </w:r>
      <w:r w:rsidRPr="00E53AF3">
        <w:rPr>
          <w:bCs/>
        </w:rPr>
        <w:t xml:space="preserve">postulat </w:t>
      </w:r>
      <w:r w:rsidRPr="00E53AF3">
        <w:rPr>
          <w:bCs/>
          <w:i/>
          <w:iCs/>
        </w:rPr>
        <w:t xml:space="preserve">de lege </w:t>
      </w:r>
      <w:proofErr w:type="spellStart"/>
      <w:r w:rsidRPr="00E53AF3">
        <w:rPr>
          <w:bCs/>
          <w:i/>
          <w:iCs/>
        </w:rPr>
        <w:t>ferenda</w:t>
      </w:r>
      <w:proofErr w:type="spellEnd"/>
      <w:r w:rsidRPr="00E53AF3">
        <w:rPr>
          <w:bCs/>
        </w:rPr>
        <w:t xml:space="preserve"> dotyczy wyartykułowania winy jako okoliczności warunkującej ponoszenie odpowiedzialności za delikty administracyjne zagrożone administracyjnymi karami pieniężnymi. Kolejny postulat </w:t>
      </w:r>
      <w:r>
        <w:t xml:space="preserve">odnosi się do </w:t>
      </w:r>
      <w:r w:rsidRPr="00E53AF3">
        <w:t>rozszerzeni</w:t>
      </w:r>
      <w:r>
        <w:t>a</w:t>
      </w:r>
      <w:r w:rsidRPr="00E53AF3">
        <w:t xml:space="preserve"> przesłanek odstępowania od nakładania administracyjnych kar pieniężnych poprzez </w:t>
      </w:r>
      <w:r w:rsidRPr="00E53AF3">
        <w:rPr>
          <w:bCs/>
        </w:rPr>
        <w:t>dodani</w:t>
      </w:r>
      <w:r>
        <w:rPr>
          <w:bCs/>
        </w:rPr>
        <w:t>e</w:t>
      </w:r>
      <w:r w:rsidRPr="00E53AF3">
        <w:rPr>
          <w:bCs/>
        </w:rPr>
        <w:t xml:space="preserve"> w dziale </w:t>
      </w:r>
      <w:proofErr w:type="spellStart"/>
      <w:r w:rsidRPr="00E53AF3">
        <w:rPr>
          <w:bCs/>
        </w:rPr>
        <w:t>IVa</w:t>
      </w:r>
      <w:proofErr w:type="spellEnd"/>
      <w:r w:rsidRPr="00E53AF3">
        <w:rPr>
          <w:bCs/>
        </w:rPr>
        <w:t xml:space="preserve"> k.p.a. przesłanki </w:t>
      </w:r>
      <w:r>
        <w:rPr>
          <w:bCs/>
        </w:rPr>
        <w:t>przyjmującej</w:t>
      </w:r>
      <w:r w:rsidRPr="00E53AF3">
        <w:rPr>
          <w:bCs/>
        </w:rPr>
        <w:t xml:space="preserve"> charakter klauzuli generalnej. Powinna ona </w:t>
      </w:r>
      <w:r>
        <w:rPr>
          <w:bCs/>
        </w:rPr>
        <w:t>znaleźć</w:t>
      </w:r>
      <w:r w:rsidRPr="00E53AF3">
        <w:rPr>
          <w:bCs/>
        </w:rPr>
        <w:t xml:space="preserve"> zastosowanie do wszystkich administracyjnych kar pieniężnych, nawet gdy </w:t>
      </w:r>
      <w:r>
        <w:rPr>
          <w:bCs/>
        </w:rPr>
        <w:t xml:space="preserve"> odstąpienie od nich </w:t>
      </w:r>
      <w:r w:rsidRPr="00E53AF3">
        <w:rPr>
          <w:bCs/>
        </w:rPr>
        <w:t>został</w:t>
      </w:r>
      <w:r>
        <w:rPr>
          <w:bCs/>
        </w:rPr>
        <w:t>o</w:t>
      </w:r>
      <w:r w:rsidRPr="00E53AF3">
        <w:rPr>
          <w:bCs/>
        </w:rPr>
        <w:t xml:space="preserve"> uregulowan</w:t>
      </w:r>
      <w:r>
        <w:rPr>
          <w:bCs/>
        </w:rPr>
        <w:t>e w przepisach</w:t>
      </w:r>
      <w:r w:rsidRPr="00E53AF3">
        <w:rPr>
          <w:bCs/>
        </w:rPr>
        <w:t xml:space="preserve"> odrębn</w:t>
      </w:r>
      <w:r>
        <w:rPr>
          <w:bCs/>
        </w:rPr>
        <w:t>ych</w:t>
      </w:r>
      <w:r w:rsidRPr="00E53AF3">
        <w:rPr>
          <w:bCs/>
        </w:rPr>
        <w:t xml:space="preserve">. Następny postulat </w:t>
      </w:r>
      <w:r w:rsidRPr="00E53AF3">
        <w:rPr>
          <w:bCs/>
          <w:i/>
          <w:iCs/>
        </w:rPr>
        <w:t xml:space="preserve">de lege </w:t>
      </w:r>
      <w:proofErr w:type="spellStart"/>
      <w:r w:rsidRPr="00E53AF3">
        <w:rPr>
          <w:bCs/>
          <w:i/>
          <w:iCs/>
        </w:rPr>
        <w:t>ferenda</w:t>
      </w:r>
      <w:proofErr w:type="spellEnd"/>
      <w:r w:rsidRPr="00E53AF3">
        <w:rPr>
          <w:bCs/>
        </w:rPr>
        <w:t xml:space="preserve"> </w:t>
      </w:r>
      <w:r w:rsidRPr="00E53AF3">
        <w:t>dotyczy dodania w przepisach przewidujących administracyjne kary pieniężne, regulacji umożliwiającej warunkowe umorzenie postępowania lub warunkowe zawieszenie</w:t>
      </w:r>
      <w:r w:rsidRPr="00E53AF3">
        <w:rPr>
          <w:bCs/>
        </w:rPr>
        <w:t xml:space="preserve"> administracyjnej kary pieniężnej. Za absolutnie konieczne uważam również uregulowanie kwestii zbiegu deliktów administracyjnych uregulowanych </w:t>
      </w:r>
      <w:r>
        <w:rPr>
          <w:bCs/>
        </w:rPr>
        <w:t xml:space="preserve">w </w:t>
      </w:r>
      <w:r w:rsidRPr="00353130">
        <w:rPr>
          <w:bCs/>
        </w:rPr>
        <w:t>ustaw</w:t>
      </w:r>
      <w:r>
        <w:rPr>
          <w:bCs/>
        </w:rPr>
        <w:t>ie</w:t>
      </w:r>
      <w:r w:rsidRPr="00353130">
        <w:rPr>
          <w:bCs/>
        </w:rPr>
        <w:t xml:space="preserve"> </w:t>
      </w:r>
      <w:r w:rsidRPr="00AF1171">
        <w:rPr>
          <w:bCs/>
          <w:i/>
          <w:iCs/>
        </w:rPr>
        <w:t>o transporcie drogowym</w:t>
      </w:r>
      <w:r w:rsidRPr="00353130">
        <w:rPr>
          <w:bCs/>
        </w:rPr>
        <w:t xml:space="preserve"> oraz ustaw</w:t>
      </w:r>
      <w:r>
        <w:rPr>
          <w:bCs/>
        </w:rPr>
        <w:t xml:space="preserve">ie </w:t>
      </w:r>
      <w:r w:rsidRPr="00AF1171">
        <w:rPr>
          <w:bCs/>
          <w:i/>
          <w:iCs/>
        </w:rPr>
        <w:t>Prawo o ruchu drogowym</w:t>
      </w:r>
      <w:r>
        <w:rPr>
          <w:bCs/>
        </w:rPr>
        <w:t>.</w:t>
      </w:r>
      <w:r w:rsidRPr="00353130">
        <w:rPr>
          <w:bCs/>
        </w:rPr>
        <w:t xml:space="preserve"> </w:t>
      </w:r>
      <w:r w:rsidRPr="00E53AF3">
        <w:rPr>
          <w:bCs/>
        </w:rPr>
        <w:t>Mogłoby to nastąpić poprzez dwa alternatywne rozwiązania wzorujące się na obowiązującym w prawie wykroczeń eliminacyjnym zbiegu przepisów lub idealnym zbiegu czynów znanym zarówno prawu wykroczeń, jak i prawu karnemu skarbowemu.</w:t>
      </w:r>
      <w:bookmarkEnd w:id="2"/>
    </w:p>
    <w:p w14:paraId="315EDFD3" w14:textId="77777777" w:rsidR="00FF06D2" w:rsidRPr="004021D9" w:rsidRDefault="00FF06D2" w:rsidP="00FF06D2">
      <w:pPr>
        <w:spacing w:line="360" w:lineRule="auto"/>
        <w:contextualSpacing/>
        <w:rPr>
          <w:rFonts w:cs="Times New Roman"/>
          <w:szCs w:val="24"/>
        </w:rPr>
      </w:pPr>
    </w:p>
    <w:p w14:paraId="1FBD7E44" w14:textId="77777777" w:rsidR="00FF06D2" w:rsidRPr="004021D9" w:rsidRDefault="00FF06D2" w:rsidP="00FF06D2">
      <w:pPr>
        <w:spacing w:line="360" w:lineRule="auto"/>
        <w:jc w:val="center"/>
        <w:rPr>
          <w:rFonts w:cs="Times New Roman"/>
          <w:b/>
          <w:bCs/>
          <w:szCs w:val="24"/>
        </w:rPr>
      </w:pPr>
      <w:r w:rsidRPr="004021D9">
        <w:rPr>
          <w:rFonts w:cs="Times New Roman"/>
          <w:b/>
          <w:bCs/>
          <w:szCs w:val="24"/>
        </w:rPr>
        <w:t>SŁOWA KLUCZOWE</w:t>
      </w:r>
    </w:p>
    <w:p w14:paraId="43A1BDA9" w14:textId="77777777" w:rsidR="00FF06D2" w:rsidRPr="004021D9" w:rsidRDefault="00FF06D2" w:rsidP="00FF06D2">
      <w:pPr>
        <w:pStyle w:val="tg"/>
        <w:ind w:firstLine="0"/>
      </w:pPr>
      <w:r w:rsidRPr="004021D9">
        <w:t xml:space="preserve">administracyjne kary pieniężne, transport drogowy, SENT, funkcja represyjna, funkcja prewencyjna, </w:t>
      </w:r>
      <w:proofErr w:type="spellStart"/>
      <w:r w:rsidRPr="004021D9">
        <w:rPr>
          <w:i/>
          <w:iCs/>
        </w:rPr>
        <w:t>ne</w:t>
      </w:r>
      <w:proofErr w:type="spellEnd"/>
      <w:r w:rsidRPr="004021D9">
        <w:rPr>
          <w:i/>
          <w:iCs/>
        </w:rPr>
        <w:t xml:space="preserve"> bis in </w:t>
      </w:r>
      <w:proofErr w:type="spellStart"/>
      <w:r w:rsidRPr="004021D9">
        <w:rPr>
          <w:i/>
          <w:iCs/>
        </w:rPr>
        <w:t>idem</w:t>
      </w:r>
      <w:proofErr w:type="spellEnd"/>
      <w:r w:rsidRPr="004021D9">
        <w:t>, wina w prawie administracyjnym, delikt administracyjny, sankcja administracyjna, zbieg odpowiedzialności, interes publiczny</w:t>
      </w:r>
      <w:bookmarkEnd w:id="1"/>
    </w:p>
    <w:p w14:paraId="2A6051AF" w14:textId="63903F85" w:rsidR="004D6BF7" w:rsidRPr="00FF06D2" w:rsidRDefault="004D6BF7" w:rsidP="00FF06D2"/>
    <w:sectPr w:rsidR="004D6BF7" w:rsidRPr="00FF0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B3E"/>
    <w:rsid w:val="00096A38"/>
    <w:rsid w:val="000F2872"/>
    <w:rsid w:val="00156043"/>
    <w:rsid w:val="0016720E"/>
    <w:rsid w:val="001905E1"/>
    <w:rsid w:val="001F6E41"/>
    <w:rsid w:val="0020127C"/>
    <w:rsid w:val="002B2C88"/>
    <w:rsid w:val="00365819"/>
    <w:rsid w:val="003C4680"/>
    <w:rsid w:val="00437A00"/>
    <w:rsid w:val="004D6BF7"/>
    <w:rsid w:val="0054471B"/>
    <w:rsid w:val="005A115F"/>
    <w:rsid w:val="0074139C"/>
    <w:rsid w:val="007E777B"/>
    <w:rsid w:val="008F589D"/>
    <w:rsid w:val="00900639"/>
    <w:rsid w:val="00964F2C"/>
    <w:rsid w:val="00AF61C6"/>
    <w:rsid w:val="00B94630"/>
    <w:rsid w:val="00BC5B58"/>
    <w:rsid w:val="00C514BF"/>
    <w:rsid w:val="00D00068"/>
    <w:rsid w:val="00D00D28"/>
    <w:rsid w:val="00F3401D"/>
    <w:rsid w:val="00F65B3E"/>
    <w:rsid w:val="00FF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AA354"/>
  <w15:chartTrackingRefBased/>
  <w15:docId w15:val="{BBDF4474-7890-49CA-888D-8A314187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B3E"/>
    <w:pPr>
      <w:jc w:val="both"/>
    </w:pPr>
    <w:rPr>
      <w:rFonts w:ascii="Times New Roman" w:hAnsi="Times New Roman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6D2"/>
    <w:pPr>
      <w:keepNext/>
      <w:keepLines/>
      <w:spacing w:before="240" w:after="600" w:line="360" w:lineRule="auto"/>
      <w:contextualSpacing/>
      <w:jc w:val="center"/>
      <w:outlineLvl w:val="0"/>
    </w:pPr>
    <w:rPr>
      <w:rFonts w:eastAsiaTheme="majorEastAsia" w:cs="Times New Roman"/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1905E1"/>
    <w:rPr>
      <w:rFonts w:ascii="Verdana" w:hAnsi="Verdana"/>
      <w:b/>
      <w:bCs/>
      <w:smallCaps/>
      <w:color w:val="1F3864" w:themeColor="accent1" w:themeShade="80"/>
      <w:spacing w:val="5"/>
      <w:sz w:val="20"/>
    </w:rPr>
  </w:style>
  <w:style w:type="character" w:styleId="Uwydatnienie">
    <w:name w:val="Emphasis"/>
    <w:basedOn w:val="Domylnaczcionkaakapitu"/>
    <w:uiPriority w:val="20"/>
    <w:qFormat/>
    <w:rsid w:val="001905E1"/>
    <w:rPr>
      <w:rFonts w:ascii="Verdana" w:hAnsi="Verdana"/>
      <w:b/>
      <w:i w:val="0"/>
      <w:iCs/>
      <w:color w:val="1F3864" w:themeColor="accent1" w:themeShade="80"/>
      <w:sz w:val="20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096A38"/>
    <w:pPr>
      <w:pBdr>
        <w:top w:val="single" w:sz="4" w:space="10" w:color="4472C4" w:themeColor="accent1"/>
        <w:left w:val="nil"/>
        <w:bottom w:val="single" w:sz="4" w:space="10" w:color="4472C4" w:themeColor="accent1"/>
        <w:right w:val="nil"/>
        <w:between w:val="nil"/>
        <w:bar w:val="nil"/>
      </w:pBdr>
      <w:spacing w:before="360" w:after="360"/>
      <w:ind w:left="862" w:right="862"/>
      <w:contextualSpacing/>
    </w:pPr>
    <w:rPr>
      <w:rFonts w:ascii="Verdana" w:hAnsi="Verdana"/>
      <w:i/>
      <w:iCs/>
      <w:color w:val="1F3864" w:themeColor="accent1" w:themeShade="80"/>
      <w:kern w:val="2"/>
      <w:sz w:val="22"/>
      <w:szCs w:val="24"/>
      <w:lang w:val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6A38"/>
    <w:rPr>
      <w:rFonts w:ascii="Verdana" w:hAnsi="Verdana"/>
      <w:i/>
      <w:iCs/>
      <w:color w:val="1F3864" w:themeColor="accent1" w:themeShade="80"/>
      <w:szCs w:val="24"/>
      <w:lang w:val="en-US"/>
    </w:rPr>
  </w:style>
  <w:style w:type="paragraph" w:customStyle="1" w:styleId="tg">
    <w:name w:val="tg"/>
    <w:basedOn w:val="Normalny"/>
    <w:qFormat/>
    <w:rsid w:val="00F65B3E"/>
    <w:pPr>
      <w:spacing w:after="0" w:line="360" w:lineRule="auto"/>
      <w:ind w:firstLine="851"/>
    </w:pPr>
    <w:rPr>
      <w:rFonts w:cs="Times New Roman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06D2"/>
    <w:rPr>
      <w:rFonts w:ascii="Times New Roman" w:eastAsiaTheme="majorEastAsia" w:hAnsi="Times New Roman" w:cs="Times New Roman"/>
      <w:b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Korczyński</dc:creator>
  <cp:keywords/>
  <dc:description/>
  <cp:lastModifiedBy>Dawid Korczyński</cp:lastModifiedBy>
  <cp:revision>3</cp:revision>
  <dcterms:created xsi:type="dcterms:W3CDTF">2024-03-03T08:42:00Z</dcterms:created>
  <dcterms:modified xsi:type="dcterms:W3CDTF">2024-03-03T08:43:00Z</dcterms:modified>
</cp:coreProperties>
</file>