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3A78A" w14:textId="77777777" w:rsidR="001E3B3B" w:rsidRPr="007C78B0" w:rsidRDefault="001E3B3B" w:rsidP="001E3B3B">
      <w:pPr>
        <w:jc w:val="center"/>
        <w:rPr>
          <w:rFonts w:cs="Times New Roman"/>
          <w:b/>
          <w:sz w:val="28"/>
          <w:szCs w:val="28"/>
        </w:rPr>
      </w:pPr>
      <w:r w:rsidRPr="007C78B0">
        <w:rPr>
          <w:rFonts w:cs="Times New Roman"/>
          <w:b/>
          <w:sz w:val="28"/>
          <w:szCs w:val="28"/>
        </w:rPr>
        <w:t>SWPS UNIWERSYTET HUMANISTYCZNOSPOŁECZNY</w:t>
      </w:r>
    </w:p>
    <w:p w14:paraId="66CF1586" w14:textId="77777777" w:rsidR="001E3B3B" w:rsidRPr="007C78B0" w:rsidRDefault="001E3B3B" w:rsidP="001E3B3B">
      <w:pPr>
        <w:jc w:val="center"/>
        <w:rPr>
          <w:rFonts w:cs="Times New Roman"/>
          <w:b/>
          <w:sz w:val="28"/>
          <w:szCs w:val="28"/>
        </w:rPr>
      </w:pPr>
      <w:r w:rsidRPr="007C78B0">
        <w:rPr>
          <w:rFonts w:cs="Times New Roman"/>
          <w:b/>
          <w:sz w:val="28"/>
          <w:szCs w:val="28"/>
        </w:rPr>
        <w:t>WYDZIAŁ PRAWA</w:t>
      </w:r>
    </w:p>
    <w:p w14:paraId="31799EF5" w14:textId="77777777" w:rsidR="001E3B3B" w:rsidRDefault="001E3B3B" w:rsidP="001E3B3B">
      <w:pPr>
        <w:jc w:val="center"/>
        <w:rPr>
          <w:rFonts w:cs="Times New Roman"/>
          <w:b/>
          <w:sz w:val="32"/>
          <w:szCs w:val="32"/>
        </w:rPr>
      </w:pPr>
    </w:p>
    <w:p w14:paraId="21D3D859" w14:textId="77777777" w:rsidR="001E3B3B" w:rsidRDefault="001E3B3B" w:rsidP="001E3B3B">
      <w:pPr>
        <w:jc w:val="center"/>
        <w:rPr>
          <w:rFonts w:cs="Times New Roman"/>
          <w:b/>
          <w:sz w:val="32"/>
          <w:szCs w:val="32"/>
        </w:rPr>
      </w:pPr>
    </w:p>
    <w:p w14:paraId="571FA2C6" w14:textId="77777777" w:rsidR="001E3B3B" w:rsidRDefault="001E3B3B" w:rsidP="001E3B3B">
      <w:pPr>
        <w:jc w:val="center"/>
        <w:rPr>
          <w:rFonts w:cs="Times New Roman"/>
          <w:b/>
          <w:sz w:val="32"/>
          <w:szCs w:val="32"/>
        </w:rPr>
      </w:pPr>
    </w:p>
    <w:p w14:paraId="73B47AF7" w14:textId="77777777" w:rsidR="001E3B3B" w:rsidRDefault="001E3B3B" w:rsidP="001E3B3B">
      <w:pPr>
        <w:jc w:val="center"/>
        <w:rPr>
          <w:rFonts w:cs="Times New Roman"/>
          <w:b/>
          <w:sz w:val="32"/>
          <w:szCs w:val="32"/>
        </w:rPr>
      </w:pPr>
    </w:p>
    <w:p w14:paraId="6DDE4B4A" w14:textId="77777777" w:rsidR="001E3B3B" w:rsidRPr="007C78B0" w:rsidRDefault="001E3B3B" w:rsidP="001E3B3B">
      <w:pPr>
        <w:jc w:val="center"/>
        <w:rPr>
          <w:rFonts w:cs="Times New Roman"/>
          <w:b/>
          <w:sz w:val="26"/>
          <w:szCs w:val="26"/>
        </w:rPr>
      </w:pPr>
      <w:r w:rsidRPr="007C78B0">
        <w:rPr>
          <w:rFonts w:cs="Times New Roman"/>
          <w:b/>
          <w:sz w:val="26"/>
          <w:szCs w:val="26"/>
        </w:rPr>
        <w:t>Rozprawa doktorska</w:t>
      </w:r>
    </w:p>
    <w:p w14:paraId="03FB55F0" w14:textId="77777777" w:rsidR="001E3B3B" w:rsidRPr="007C78B0" w:rsidRDefault="001E3B3B" w:rsidP="001E3B3B">
      <w:pPr>
        <w:jc w:val="center"/>
        <w:rPr>
          <w:rFonts w:cs="Times New Roman"/>
          <w:sz w:val="26"/>
          <w:szCs w:val="26"/>
        </w:rPr>
      </w:pPr>
      <w:r w:rsidRPr="007C78B0">
        <w:rPr>
          <w:rFonts w:cs="Times New Roman"/>
          <w:sz w:val="26"/>
          <w:szCs w:val="26"/>
        </w:rPr>
        <w:t>mgr Pawła Trojanka</w:t>
      </w:r>
    </w:p>
    <w:p w14:paraId="5C1C9BFF" w14:textId="77777777" w:rsidR="001E3B3B" w:rsidRDefault="001E3B3B" w:rsidP="001E3B3B">
      <w:pPr>
        <w:jc w:val="center"/>
        <w:rPr>
          <w:rFonts w:cs="Times New Roman"/>
          <w:sz w:val="28"/>
          <w:szCs w:val="28"/>
        </w:rPr>
      </w:pPr>
    </w:p>
    <w:p w14:paraId="50996E3C" w14:textId="77777777" w:rsidR="001E3B3B" w:rsidRDefault="001E3B3B" w:rsidP="001E3B3B">
      <w:pPr>
        <w:jc w:val="center"/>
        <w:rPr>
          <w:rFonts w:cs="Times New Roman"/>
          <w:sz w:val="28"/>
          <w:szCs w:val="28"/>
        </w:rPr>
      </w:pPr>
    </w:p>
    <w:p w14:paraId="2926E384" w14:textId="77777777" w:rsidR="001E3B3B" w:rsidRDefault="001E3B3B" w:rsidP="001E3B3B">
      <w:pPr>
        <w:jc w:val="center"/>
        <w:rPr>
          <w:rFonts w:cs="Times New Roman"/>
          <w:sz w:val="28"/>
          <w:szCs w:val="28"/>
        </w:rPr>
      </w:pPr>
    </w:p>
    <w:p w14:paraId="53F3121F" w14:textId="77777777" w:rsidR="001E3B3B" w:rsidRDefault="001E3B3B" w:rsidP="001E3B3B">
      <w:pPr>
        <w:jc w:val="center"/>
        <w:rPr>
          <w:rFonts w:cs="Times New Roman"/>
          <w:b/>
          <w:sz w:val="28"/>
          <w:szCs w:val="28"/>
        </w:rPr>
      </w:pPr>
      <w:r>
        <w:rPr>
          <w:rFonts w:cs="Times New Roman"/>
          <w:b/>
          <w:sz w:val="28"/>
          <w:szCs w:val="28"/>
        </w:rPr>
        <w:t>Przestępstwo firmanctwa</w:t>
      </w:r>
    </w:p>
    <w:p w14:paraId="65359112" w14:textId="77777777" w:rsidR="001E3B3B" w:rsidRDefault="001E3B3B" w:rsidP="001E3B3B">
      <w:pPr>
        <w:jc w:val="center"/>
        <w:rPr>
          <w:rFonts w:cs="Times New Roman"/>
          <w:b/>
          <w:sz w:val="28"/>
          <w:szCs w:val="28"/>
        </w:rPr>
      </w:pPr>
    </w:p>
    <w:p w14:paraId="722BFE52" w14:textId="62C79D66" w:rsidR="001E3B3B" w:rsidRDefault="001E3B3B" w:rsidP="001E3B3B">
      <w:pPr>
        <w:jc w:val="center"/>
        <w:rPr>
          <w:rFonts w:cs="Times New Roman"/>
          <w:b/>
          <w:sz w:val="28"/>
          <w:szCs w:val="28"/>
        </w:rPr>
      </w:pPr>
      <w:r>
        <w:rPr>
          <w:rFonts w:cs="Times New Roman"/>
          <w:b/>
          <w:sz w:val="28"/>
          <w:szCs w:val="28"/>
        </w:rPr>
        <w:t xml:space="preserve"> / Streszczenie w języku polskim / </w:t>
      </w:r>
    </w:p>
    <w:p w14:paraId="2F0B20EE" w14:textId="77777777" w:rsidR="001E3B3B" w:rsidRDefault="001E3B3B" w:rsidP="001E3B3B">
      <w:pPr>
        <w:rPr>
          <w:rFonts w:cs="Times New Roman"/>
          <w:b/>
          <w:sz w:val="28"/>
          <w:szCs w:val="28"/>
        </w:rPr>
      </w:pPr>
    </w:p>
    <w:p w14:paraId="58FB12FE" w14:textId="77777777" w:rsidR="001E3B3B" w:rsidRDefault="001E3B3B" w:rsidP="001E3B3B">
      <w:pPr>
        <w:rPr>
          <w:rFonts w:cs="Times New Roman"/>
          <w:b/>
          <w:sz w:val="28"/>
          <w:szCs w:val="28"/>
        </w:rPr>
      </w:pPr>
    </w:p>
    <w:p w14:paraId="33146D85" w14:textId="77777777" w:rsidR="001E3B3B" w:rsidRDefault="001E3B3B" w:rsidP="001E3B3B">
      <w:pPr>
        <w:rPr>
          <w:rFonts w:cs="Times New Roman"/>
          <w:b/>
          <w:sz w:val="28"/>
          <w:szCs w:val="28"/>
        </w:rPr>
      </w:pPr>
    </w:p>
    <w:p w14:paraId="31BA5997" w14:textId="77777777" w:rsidR="001E3B3B" w:rsidRDefault="001E3B3B" w:rsidP="001E3B3B">
      <w:pPr>
        <w:rPr>
          <w:rFonts w:cs="Times New Roman"/>
          <w:b/>
          <w:sz w:val="28"/>
          <w:szCs w:val="28"/>
        </w:rPr>
      </w:pPr>
    </w:p>
    <w:p w14:paraId="550BBA44" w14:textId="77777777" w:rsidR="001E3B3B" w:rsidRDefault="001E3B3B" w:rsidP="001E3B3B">
      <w:pPr>
        <w:rPr>
          <w:rFonts w:cs="Times New Roman"/>
          <w:b/>
          <w:sz w:val="28"/>
          <w:szCs w:val="28"/>
        </w:rPr>
      </w:pPr>
    </w:p>
    <w:p w14:paraId="3DF59653" w14:textId="77777777" w:rsidR="001E3B3B" w:rsidRDefault="001E3B3B" w:rsidP="001E3B3B">
      <w:pPr>
        <w:rPr>
          <w:rFonts w:cs="Times New Roman"/>
          <w:b/>
          <w:sz w:val="28"/>
          <w:szCs w:val="28"/>
        </w:rPr>
      </w:pPr>
    </w:p>
    <w:p w14:paraId="1194BCE8" w14:textId="77777777" w:rsidR="001E3B3B" w:rsidRDefault="001E3B3B" w:rsidP="001E3B3B">
      <w:pPr>
        <w:rPr>
          <w:rFonts w:cs="Times New Roman"/>
          <w:b/>
          <w:sz w:val="28"/>
          <w:szCs w:val="28"/>
        </w:rPr>
      </w:pPr>
    </w:p>
    <w:p w14:paraId="121FC017" w14:textId="77777777" w:rsidR="001E3B3B" w:rsidRPr="007C78B0" w:rsidRDefault="001E3B3B" w:rsidP="001E3B3B">
      <w:pPr>
        <w:jc w:val="right"/>
        <w:rPr>
          <w:rFonts w:cs="Times New Roman"/>
          <w:b/>
          <w:sz w:val="26"/>
          <w:szCs w:val="26"/>
        </w:rPr>
      </w:pPr>
      <w:r w:rsidRPr="007C78B0">
        <w:rPr>
          <w:rFonts w:cs="Times New Roman"/>
          <w:b/>
          <w:sz w:val="26"/>
          <w:szCs w:val="26"/>
        </w:rPr>
        <w:t>Praca napisana pod kierunkiem</w:t>
      </w:r>
    </w:p>
    <w:p w14:paraId="6718E17C" w14:textId="77777777" w:rsidR="001E3B3B" w:rsidRPr="007C78B0" w:rsidRDefault="001E3B3B" w:rsidP="001E3B3B">
      <w:pPr>
        <w:jc w:val="right"/>
        <w:rPr>
          <w:rFonts w:cs="Times New Roman"/>
          <w:b/>
          <w:sz w:val="26"/>
          <w:szCs w:val="26"/>
        </w:rPr>
      </w:pPr>
      <w:r w:rsidRPr="007C78B0">
        <w:rPr>
          <w:rFonts w:cs="Times New Roman"/>
          <w:b/>
          <w:sz w:val="26"/>
          <w:szCs w:val="26"/>
        </w:rPr>
        <w:t>Prof. zw. dra hab. Jacka Sobczaka</w:t>
      </w:r>
    </w:p>
    <w:p w14:paraId="408F358D" w14:textId="77777777" w:rsidR="001E3B3B" w:rsidRPr="007C78B0" w:rsidRDefault="001E3B3B" w:rsidP="001E3B3B">
      <w:pPr>
        <w:jc w:val="right"/>
        <w:rPr>
          <w:rFonts w:cs="Times New Roman"/>
          <w:b/>
          <w:sz w:val="26"/>
          <w:szCs w:val="26"/>
        </w:rPr>
      </w:pPr>
    </w:p>
    <w:p w14:paraId="51064474" w14:textId="77777777" w:rsidR="001E3B3B" w:rsidRDefault="001E3B3B" w:rsidP="001E3B3B">
      <w:pPr>
        <w:jc w:val="right"/>
        <w:rPr>
          <w:rFonts w:cs="Times New Roman"/>
          <w:b/>
          <w:sz w:val="28"/>
          <w:szCs w:val="28"/>
        </w:rPr>
      </w:pPr>
    </w:p>
    <w:p w14:paraId="787CF4FF" w14:textId="77777777" w:rsidR="001E3B3B" w:rsidRDefault="001E3B3B" w:rsidP="001E3B3B">
      <w:pPr>
        <w:jc w:val="right"/>
        <w:rPr>
          <w:rFonts w:cs="Times New Roman"/>
          <w:b/>
          <w:sz w:val="28"/>
          <w:szCs w:val="28"/>
        </w:rPr>
      </w:pPr>
    </w:p>
    <w:p w14:paraId="6CCFD930" w14:textId="77777777" w:rsidR="001E3B3B" w:rsidRDefault="001E3B3B" w:rsidP="001E3B3B">
      <w:pPr>
        <w:jc w:val="center"/>
        <w:rPr>
          <w:rFonts w:cs="Times New Roman"/>
          <w:sz w:val="28"/>
          <w:szCs w:val="28"/>
        </w:rPr>
      </w:pPr>
      <w:r>
        <w:rPr>
          <w:rFonts w:cs="Times New Roman"/>
          <w:sz w:val="28"/>
          <w:szCs w:val="28"/>
        </w:rPr>
        <w:t>Warszawa 2023</w:t>
      </w:r>
    </w:p>
    <w:p w14:paraId="3532FE0A" w14:textId="77777777" w:rsidR="001E3B3B" w:rsidRDefault="001E3B3B" w:rsidP="001E3B3B">
      <w:pPr>
        <w:jc w:val="center"/>
        <w:rPr>
          <w:rFonts w:cs="Times New Roman"/>
          <w:sz w:val="28"/>
          <w:szCs w:val="28"/>
        </w:rPr>
      </w:pPr>
    </w:p>
    <w:p w14:paraId="7E70C73C" w14:textId="77777777" w:rsidR="001E3B3B" w:rsidRDefault="001E3B3B" w:rsidP="001E3B3B">
      <w:pPr>
        <w:jc w:val="center"/>
        <w:rPr>
          <w:rFonts w:cs="Times New Roman"/>
          <w:sz w:val="28"/>
          <w:szCs w:val="28"/>
        </w:rPr>
      </w:pPr>
    </w:p>
    <w:p w14:paraId="3963377B" w14:textId="77777777" w:rsidR="001E3B3B" w:rsidRDefault="001E3B3B" w:rsidP="001E3B3B">
      <w:pPr>
        <w:jc w:val="center"/>
        <w:rPr>
          <w:rFonts w:cs="Times New Roman"/>
          <w:sz w:val="28"/>
          <w:szCs w:val="28"/>
        </w:rPr>
      </w:pPr>
    </w:p>
    <w:p w14:paraId="6F4AF8E5" w14:textId="77777777" w:rsidR="001E3B3B" w:rsidRDefault="001E3B3B" w:rsidP="001E3B3B">
      <w:pPr>
        <w:jc w:val="center"/>
        <w:rPr>
          <w:rFonts w:cs="Times New Roman"/>
          <w:sz w:val="28"/>
          <w:szCs w:val="28"/>
        </w:rPr>
      </w:pPr>
    </w:p>
    <w:p w14:paraId="456579D1" w14:textId="77777777" w:rsidR="001E3B3B" w:rsidRPr="00685446" w:rsidRDefault="001E3B3B" w:rsidP="001E3B3B">
      <w:pPr>
        <w:pStyle w:val="Nagwek1"/>
      </w:pPr>
      <w:bookmarkStart w:id="0" w:name="_Toc152050545"/>
      <w:r w:rsidRPr="007C78B0">
        <w:rPr>
          <w:rStyle w:val="Nagwek5Znak"/>
        </w:rPr>
        <w:t>Streszczenie</w:t>
      </w:r>
      <w:bookmarkStart w:id="1" w:name="_Hlk151912681"/>
      <w:bookmarkEnd w:id="0"/>
    </w:p>
    <w:p w14:paraId="60FF153A" w14:textId="77777777" w:rsidR="001E3B3B" w:rsidRDefault="001E3B3B" w:rsidP="001E3B3B">
      <w:pPr>
        <w:pStyle w:val="Bezodstpw"/>
        <w:spacing w:line="360" w:lineRule="auto"/>
        <w:ind w:firstLine="708"/>
        <w:rPr>
          <w:rFonts w:cs="Times New Roman"/>
        </w:rPr>
      </w:pPr>
      <w:r>
        <w:rPr>
          <w:rFonts w:cs="Times New Roman"/>
        </w:rPr>
        <w:t>Przestępstwo firmanctwa, które nie ma definicji legalnej, po raz pierwszy uwzględniono w ustawie karnej skarbowej z 1960 r., w czasach socjalistycznej gospodarki planowej, kiedy opodatkowanie było „narzędziem reformy społecznej”</w:t>
      </w:r>
      <w:r>
        <w:rPr>
          <w:rStyle w:val="Odwoanieprzypisudolnego"/>
          <w:rFonts w:cs="Times New Roman"/>
        </w:rPr>
        <w:footnoteReference w:id="1"/>
      </w:r>
      <w:r>
        <w:rPr>
          <w:rFonts w:cs="Times New Roman"/>
        </w:rPr>
        <w:t xml:space="preserve">, a prawo karne w sferze gospodarczej, traktowano „raczej jako </w:t>
      </w:r>
      <w:r>
        <w:rPr>
          <w:rFonts w:cs="Times New Roman"/>
          <w:i/>
          <w:iCs/>
        </w:rPr>
        <w:t>prima ratio”</w:t>
      </w:r>
      <w:r>
        <w:rPr>
          <w:rStyle w:val="Odwoanieprzypisudolnego"/>
          <w:rFonts w:cs="Times New Roman"/>
          <w:i/>
          <w:iCs/>
        </w:rPr>
        <w:footnoteReference w:id="2"/>
      </w:r>
      <w:r>
        <w:rPr>
          <w:rFonts w:cs="Times New Roman"/>
          <w:i/>
          <w:iCs/>
        </w:rPr>
        <w:t>.</w:t>
      </w:r>
      <w:r>
        <w:rPr>
          <w:rFonts w:cs="Times New Roman"/>
        </w:rPr>
        <w:t xml:space="preserve"> Pomimo radykalnej zmiany realiów gospodarczych w dniu 4 czerwca 1989 r. (data umowna),  oraz odejściem od </w:t>
      </w:r>
      <w:r w:rsidRPr="006E2505">
        <w:rPr>
          <w:rFonts w:cs="Times New Roman"/>
        </w:rPr>
        <w:t>paradygmat</w:t>
      </w:r>
      <w:r>
        <w:rPr>
          <w:rFonts w:cs="Times New Roman"/>
        </w:rPr>
        <w:t xml:space="preserve">u </w:t>
      </w:r>
      <w:r w:rsidRPr="006E2505">
        <w:rPr>
          <w:rFonts w:cs="Times New Roman"/>
        </w:rPr>
        <w:t xml:space="preserve">prowadzenia działalności gospodarczej </w:t>
      </w:r>
      <w:r>
        <w:rPr>
          <w:rFonts w:cs="Times New Roman"/>
        </w:rPr>
        <w:t xml:space="preserve">opartego o zasadę „co nie jest (wyraźnie) dozwolone jest zakazane”, firmanctwo podlega kryminalizacji również dzisiaj w systemie ekonomicznym, w którym istotne procesy gospodarcze, nie są regulowane przez państwo, a  przebiegają na rynku, który nie ogranicza się jedynie do granic Rzeczypospolitej. </w:t>
      </w:r>
    </w:p>
    <w:p w14:paraId="34DE3BCC" w14:textId="77777777" w:rsidR="001E3B3B" w:rsidRDefault="001E3B3B" w:rsidP="001E3B3B">
      <w:pPr>
        <w:pStyle w:val="Bezodstpw"/>
        <w:spacing w:line="360" w:lineRule="auto"/>
        <w:ind w:firstLine="708"/>
        <w:rPr>
          <w:rFonts w:cs="Times New Roman"/>
        </w:rPr>
      </w:pPr>
      <w:r>
        <w:rPr>
          <w:rFonts w:cs="Times New Roman"/>
        </w:rPr>
        <w:t xml:space="preserve">Wspomniany kontekst historyczny i ekonomiczny firmanctwa, był i pozostaje tłem zmiennych nakazów i zakazów nakładanych przez prawo skarbowe, bez którego to kontekstu, poprawne odczytywanie, czy jak chcą niektórzy,  dekodowanie norm karnych skarbowych,  dla firmanctwa nie jest możliwe. Dostęp polskich podatników do rynku globalnego, oraz podatników zagranicznych do rynku krajowego, zdaje się ujawniać, że w znamionach przestępstwa firmanctwa w  szczególności od 1 maja 2004, </w:t>
      </w:r>
      <w:r w:rsidRPr="008F4E36">
        <w:rPr>
          <w:rFonts w:cs="Times New Roman"/>
        </w:rPr>
        <w:t xml:space="preserve">skupiają </w:t>
      </w:r>
      <w:r>
        <w:rPr>
          <w:rFonts w:cs="Times New Roman"/>
        </w:rPr>
        <w:t>się niczym w  soczewce, zasadnicze dla prawa karnego skarbowego i kluczowe dla prowadzenia działalności opodatkowanej kwestie: granic kryminalizacji</w:t>
      </w:r>
      <w:r>
        <w:rPr>
          <w:rStyle w:val="Odwoanieprzypisudolnego"/>
          <w:rFonts w:cs="Times New Roman"/>
        </w:rPr>
        <w:footnoteReference w:id="3"/>
      </w:r>
      <w:r>
        <w:rPr>
          <w:rFonts w:cs="Times New Roman"/>
        </w:rPr>
        <w:t xml:space="preserve">, pewności prawa (niem. </w:t>
      </w:r>
      <w:proofErr w:type="spellStart"/>
      <w:r w:rsidRPr="7287F304">
        <w:rPr>
          <w:rFonts w:cs="Times New Roman"/>
          <w:i/>
          <w:iCs/>
        </w:rPr>
        <w:t>Rechtssicherheit</w:t>
      </w:r>
      <w:proofErr w:type="spellEnd"/>
      <w:r w:rsidRPr="7287F304">
        <w:rPr>
          <w:rFonts w:cs="Times New Roman"/>
          <w:i/>
          <w:iCs/>
        </w:rPr>
        <w:t xml:space="preserve">, </w:t>
      </w:r>
      <w:r w:rsidRPr="001518BF">
        <w:rPr>
          <w:rFonts w:cs="Times New Roman"/>
        </w:rPr>
        <w:t>ang</w:t>
      </w:r>
      <w:r>
        <w:rPr>
          <w:rFonts w:cs="Times New Roman"/>
        </w:rPr>
        <w:t>.</w:t>
      </w:r>
      <w:r w:rsidRPr="7287F304">
        <w:rPr>
          <w:rFonts w:cs="Times New Roman"/>
          <w:i/>
          <w:iCs/>
        </w:rPr>
        <w:t xml:space="preserve"> </w:t>
      </w:r>
      <w:proofErr w:type="spellStart"/>
      <w:r w:rsidRPr="7287F304">
        <w:rPr>
          <w:rFonts w:cs="Times New Roman"/>
          <w:i/>
          <w:iCs/>
        </w:rPr>
        <w:t>Rule</w:t>
      </w:r>
      <w:proofErr w:type="spellEnd"/>
      <w:r w:rsidRPr="7287F304">
        <w:rPr>
          <w:rFonts w:cs="Times New Roman"/>
          <w:i/>
          <w:iCs/>
        </w:rPr>
        <w:t xml:space="preserve"> of  Law</w:t>
      </w:r>
      <w:r>
        <w:rPr>
          <w:rFonts w:cs="Times New Roman"/>
        </w:rPr>
        <w:t>)</w:t>
      </w:r>
      <w:r>
        <w:rPr>
          <w:rStyle w:val="Odwoanieprzypisudolnego"/>
          <w:rFonts w:cs="Times New Roman"/>
        </w:rPr>
        <w:footnoteReference w:id="4"/>
      </w:r>
      <w:r>
        <w:rPr>
          <w:rFonts w:cs="Times New Roman"/>
        </w:rPr>
        <w:t>, równości wobec prawa w  ujęciu materialnym (ang</w:t>
      </w:r>
      <w:r w:rsidRPr="7287F304">
        <w:rPr>
          <w:rFonts w:cs="Times New Roman"/>
          <w:i/>
          <w:iCs/>
        </w:rPr>
        <w:t xml:space="preserve">. </w:t>
      </w:r>
      <w:proofErr w:type="spellStart"/>
      <w:r w:rsidRPr="7287F304">
        <w:rPr>
          <w:rFonts w:cs="Times New Roman"/>
          <w:i/>
          <w:iCs/>
        </w:rPr>
        <w:t>equality</w:t>
      </w:r>
      <w:proofErr w:type="spellEnd"/>
      <w:r w:rsidRPr="7287F304">
        <w:rPr>
          <w:rFonts w:cs="Times New Roman"/>
          <w:i/>
          <w:iCs/>
        </w:rPr>
        <w:t xml:space="preserve"> in </w:t>
      </w:r>
      <w:proofErr w:type="spellStart"/>
      <w:r w:rsidRPr="7287F304">
        <w:rPr>
          <w:rFonts w:cs="Times New Roman"/>
          <w:i/>
          <w:iCs/>
        </w:rPr>
        <w:t>fact</w:t>
      </w:r>
      <w:proofErr w:type="spellEnd"/>
      <w:r>
        <w:rPr>
          <w:rFonts w:cs="Times New Roman"/>
        </w:rPr>
        <w:t>) w  odniesieniu do wielkich ponadnarodowych korporacji jak i tzw. zwykłych podatników</w:t>
      </w:r>
      <w:r>
        <w:rPr>
          <w:rStyle w:val="Odwoanieprzypisudolnego"/>
          <w:rFonts w:cs="Times New Roman"/>
        </w:rPr>
        <w:footnoteReference w:id="5"/>
      </w:r>
      <w:r>
        <w:rPr>
          <w:rFonts w:cs="Times New Roman"/>
        </w:rPr>
        <w:t>.</w:t>
      </w:r>
      <w:r w:rsidRPr="006E2505">
        <w:t xml:space="preserve"> </w:t>
      </w:r>
      <w:r>
        <w:rPr>
          <w:rFonts w:cs="Times New Roman"/>
        </w:rPr>
        <w:t>Działalność polskich podatników w realiach jednolitego rynku UE, sprawiła, że, za zasadną uznano próbę odpowiedzi na pytanie: czy wykorzystywanie podmiotów pośredniczących, tzw. podmiotów fasadowych</w:t>
      </w:r>
      <w:r w:rsidRPr="00E116B9">
        <w:rPr>
          <w:rStyle w:val="Odwoanieprzypisudolnego"/>
          <w:rFonts w:cs="Times New Roman"/>
        </w:rPr>
        <w:footnoteReference w:id="6"/>
      </w:r>
      <w:r>
        <w:rPr>
          <w:rFonts w:cs="Times New Roman"/>
        </w:rPr>
        <w:t xml:space="preserve">, zakładanych bądź nabywanych za granicą, może być uznane za dopuszczanie się przestępstwa firmanctwa po 1 maja 2004. W tym kontekście rozważaniami pracy objęto również kwestie odpowiedzialności karnej podmiotów zbiorowych, nie tylko z polskiej perspektywy, mając na względzie konieczność weryfikacji powszechności stosowania w europejskich i pozaeuropejskich systemach prawnych zasady </w:t>
      </w:r>
      <w:r w:rsidRPr="00A70E65">
        <w:rPr>
          <w:rFonts w:cs="Times New Roman"/>
          <w:i/>
          <w:iCs/>
        </w:rPr>
        <w:t>societas delinquere non potest</w:t>
      </w:r>
      <w:r>
        <w:rPr>
          <w:rFonts w:cs="Times New Roman"/>
        </w:rPr>
        <w:t xml:space="preserve">. </w:t>
      </w:r>
    </w:p>
    <w:p w14:paraId="4CA8BFE6" w14:textId="77777777" w:rsidR="001E3B3B" w:rsidRDefault="001E3B3B" w:rsidP="001E3B3B">
      <w:pPr>
        <w:pStyle w:val="Bezodstpw"/>
        <w:spacing w:line="360" w:lineRule="auto"/>
        <w:ind w:firstLine="708"/>
        <w:rPr>
          <w:rFonts w:cs="Times New Roman"/>
        </w:rPr>
      </w:pPr>
      <w:r w:rsidRPr="002455FF">
        <w:rPr>
          <w:rFonts w:cs="Times New Roman"/>
        </w:rPr>
        <w:t xml:space="preserve">Celem badawczym pracy </w:t>
      </w:r>
      <w:r>
        <w:rPr>
          <w:rFonts w:cs="Times New Roman"/>
        </w:rPr>
        <w:t xml:space="preserve">stała się </w:t>
      </w:r>
      <w:r w:rsidRPr="002455FF">
        <w:rPr>
          <w:rFonts w:cs="Times New Roman"/>
        </w:rPr>
        <w:t xml:space="preserve">próba oceny funkcjonowania w obiegu społecznym przepisów art. 55 kodeksu karnego skarbowego i art. 113 ordynacji podatkowej, z uwzględnieniem zasady swobody przedsiębiorczości UE, oraz istniejących pomiędzy nimi zależności. </w:t>
      </w:r>
      <w:r>
        <w:rPr>
          <w:rFonts w:cs="Times New Roman"/>
        </w:rPr>
        <w:t>Jako p</w:t>
      </w:r>
      <w:r w:rsidRPr="00C31E59">
        <w:rPr>
          <w:rFonts w:cs="Times New Roman"/>
        </w:rPr>
        <w:t>odstawow</w:t>
      </w:r>
      <w:r>
        <w:rPr>
          <w:rFonts w:cs="Times New Roman"/>
        </w:rPr>
        <w:t>e</w:t>
      </w:r>
      <w:r w:rsidRPr="00C31E59">
        <w:rPr>
          <w:rFonts w:cs="Times New Roman"/>
        </w:rPr>
        <w:t xml:space="preserve"> zagadnienie badawcz</w:t>
      </w:r>
      <w:r>
        <w:rPr>
          <w:rFonts w:cs="Times New Roman"/>
        </w:rPr>
        <w:t xml:space="preserve">e uznano </w:t>
      </w:r>
      <w:r w:rsidRPr="00E116B9">
        <w:rPr>
          <w:rFonts w:cs="Times New Roman"/>
        </w:rPr>
        <w:t>zasadność utrzymywania przestępności firmanctwa (kryminalizacja w drugim znaczeniu)</w:t>
      </w:r>
      <w:r w:rsidRPr="00E116B9">
        <w:rPr>
          <w:rStyle w:val="Odwoanieprzypisudolnego"/>
          <w:rFonts w:cs="Times New Roman"/>
        </w:rPr>
        <w:footnoteReference w:id="7"/>
      </w:r>
      <w:r w:rsidRPr="00E116B9">
        <w:rPr>
          <w:rFonts w:cs="Times New Roman"/>
        </w:rPr>
        <w:t xml:space="preserve">, w k.k.s.. </w:t>
      </w:r>
    </w:p>
    <w:p w14:paraId="00D6BCA4" w14:textId="77777777" w:rsidR="001E3B3B" w:rsidRDefault="001E3B3B" w:rsidP="001E3B3B">
      <w:pPr>
        <w:pStyle w:val="Bezodstpw"/>
        <w:spacing w:line="360" w:lineRule="auto"/>
        <w:ind w:firstLine="708"/>
        <w:rPr>
          <w:rFonts w:cs="Times New Roman"/>
        </w:rPr>
      </w:pPr>
      <w:r>
        <w:rPr>
          <w:rFonts w:cs="Times New Roman"/>
        </w:rPr>
        <w:t xml:space="preserve">Dostrzeżono, bowiem, że począwszy od 1 maja 2004, </w:t>
      </w:r>
      <w:r w:rsidRPr="00E116B9">
        <w:rPr>
          <w:rFonts w:cs="Times New Roman"/>
        </w:rPr>
        <w:t>polski podatnik prowadzący działalność gospodarczą, w tym „podmiot konwencyjny t.j. osoba prawn</w:t>
      </w:r>
      <w:r>
        <w:rPr>
          <w:rFonts w:cs="Times New Roman"/>
        </w:rPr>
        <w:t xml:space="preserve">a </w:t>
      </w:r>
      <w:r w:rsidRPr="00E116B9">
        <w:rPr>
          <w:rFonts w:cs="Times New Roman"/>
        </w:rPr>
        <w:t>lub inna jednostka organizacyjna, której stosowne przepisy przyznają zdolność prawną”</w:t>
      </w:r>
      <w:r w:rsidRPr="00E116B9">
        <w:rPr>
          <w:rStyle w:val="Odwoanieprzypisudolnego"/>
          <w:rFonts w:cs="Times New Roman"/>
        </w:rPr>
        <w:footnoteReference w:id="8"/>
      </w:r>
      <w:r>
        <w:rPr>
          <w:rFonts w:cs="Times New Roman"/>
        </w:rPr>
        <w:t xml:space="preserve">, </w:t>
      </w:r>
      <w:r w:rsidRPr="00E116B9">
        <w:rPr>
          <w:rFonts w:cs="Times New Roman"/>
        </w:rPr>
        <w:t xml:space="preserve">posługując się imieniem i nazwiskiem, nazwą i firmą innego podmiotu konwencyjnego, </w:t>
      </w:r>
      <w:r>
        <w:rPr>
          <w:rFonts w:cs="Times New Roman"/>
        </w:rPr>
        <w:t xml:space="preserve">w tym tzw. podmiotu </w:t>
      </w:r>
      <w:r w:rsidRPr="00E116B9">
        <w:rPr>
          <w:rFonts w:cs="Times New Roman"/>
        </w:rPr>
        <w:t>fasadowe</w:t>
      </w:r>
      <w:r>
        <w:rPr>
          <w:rFonts w:cs="Times New Roman"/>
        </w:rPr>
        <w:t xml:space="preserve">go, zakładanego </w:t>
      </w:r>
      <w:r w:rsidRPr="00E116B9">
        <w:rPr>
          <w:rFonts w:cs="Times New Roman"/>
        </w:rPr>
        <w:t xml:space="preserve">na jego zlecenie w innym kraju UE, </w:t>
      </w:r>
      <w:r>
        <w:rPr>
          <w:rFonts w:cs="Times New Roman"/>
        </w:rPr>
        <w:t xml:space="preserve">mógł podnosić że działał w granicach prawa, w oparciu o europejską zasadą swobody przedsiębiorczości, a tym samym nie mógł narażać  podatku na uszczuplenie w okresie od </w:t>
      </w:r>
      <w:r w:rsidRPr="00E116B9">
        <w:rPr>
          <w:rFonts w:cs="Times New Roman"/>
        </w:rPr>
        <w:t>1 maja 2004</w:t>
      </w:r>
      <w:r>
        <w:rPr>
          <w:rFonts w:cs="Times New Roman"/>
        </w:rPr>
        <w:t xml:space="preserve">. Wyżej wspomniany podmiot fasadowy to w większości przypadków podmiot nie mający majątku, wyposażenia,  personelu, posiadający siedzibę w biurze , w którym siedzibę deklaruje kilkaset innych podmiotów. </w:t>
      </w:r>
    </w:p>
    <w:p w14:paraId="490F8A23" w14:textId="77777777" w:rsidR="001E3B3B" w:rsidRDefault="001E3B3B" w:rsidP="001E3B3B">
      <w:pPr>
        <w:pStyle w:val="Bezodstpw"/>
        <w:spacing w:line="360" w:lineRule="auto"/>
        <w:ind w:firstLine="708"/>
        <w:rPr>
          <w:rFonts w:cs="Times New Roman"/>
        </w:rPr>
      </w:pPr>
      <w:r>
        <w:rPr>
          <w:rFonts w:cs="Times New Roman"/>
        </w:rPr>
        <w:t xml:space="preserve">Podatnik korzystający z takich instytucji, nie musiał przy tym ujawniać własnej tożsamości i posługując się tzw. nominowanymi (podstawionymi): dyrektorami, sekretarzami, a nawet udziałowcami, nie ujawniając także własnej działalność gospodarczej, sprawując nad takim podmiotem fasadowym kontrolę </w:t>
      </w:r>
      <w:r w:rsidRPr="0086510C">
        <w:rPr>
          <w:rFonts w:cs="Times New Roman"/>
        </w:rPr>
        <w:t>która, uwzględniając okoliczności faktyczne, pozwala</w:t>
      </w:r>
      <w:r>
        <w:rPr>
          <w:rFonts w:cs="Times New Roman"/>
        </w:rPr>
        <w:t>ła mu</w:t>
      </w:r>
      <w:r w:rsidRPr="0086510C">
        <w:rPr>
          <w:rFonts w:cs="Times New Roman"/>
        </w:rPr>
        <w:t xml:space="preserve"> na wywieranie dominującego wpływu na funkcjonowanie </w:t>
      </w:r>
      <w:r>
        <w:rPr>
          <w:rFonts w:cs="Times New Roman"/>
        </w:rPr>
        <w:t xml:space="preserve">takiego podmiotu, </w:t>
      </w:r>
      <w:r w:rsidRPr="0086510C">
        <w:rPr>
          <w:rFonts w:cs="Times New Roman"/>
        </w:rPr>
        <w:t xml:space="preserve">poprzez wpływ na podejmowanie decyzji na najwyższym szczeblu w sprawach dotyczących </w:t>
      </w:r>
      <w:r>
        <w:rPr>
          <w:rFonts w:cs="Times New Roman"/>
        </w:rPr>
        <w:t xml:space="preserve">tego podmiotu, </w:t>
      </w:r>
      <w:r w:rsidRPr="0086510C">
        <w:rPr>
          <w:rFonts w:cs="Times New Roman"/>
        </w:rPr>
        <w:t>przy czym kontrola faktyczna</w:t>
      </w:r>
      <w:r>
        <w:rPr>
          <w:rFonts w:cs="Times New Roman"/>
        </w:rPr>
        <w:t xml:space="preserve"> nie musiała wynikać z formalnego umocowania, co do zasady wypełniał wszystkie znamiona czynu określanego jako przestępstwo firmanctwa. </w:t>
      </w:r>
    </w:p>
    <w:p w14:paraId="74334125" w14:textId="77777777" w:rsidR="001E3B3B" w:rsidRDefault="001E3B3B" w:rsidP="001E3B3B">
      <w:pPr>
        <w:pStyle w:val="Bezodstpw"/>
        <w:spacing w:line="360" w:lineRule="auto"/>
        <w:ind w:firstLine="708"/>
        <w:rPr>
          <w:rFonts w:cs="Times New Roman"/>
        </w:rPr>
      </w:pPr>
      <w:r>
        <w:rPr>
          <w:rFonts w:cs="Times New Roman"/>
        </w:rPr>
        <w:t>Jak ustalono, k</w:t>
      </w:r>
      <w:r w:rsidRPr="00E116B9">
        <w:rPr>
          <w:rFonts w:cs="Times New Roman"/>
        </w:rPr>
        <w:t>westie związane z tymi zagadnieniami</w:t>
      </w:r>
      <w:r>
        <w:rPr>
          <w:rFonts w:cs="Times New Roman"/>
        </w:rPr>
        <w:t xml:space="preserve">, </w:t>
      </w:r>
      <w:r w:rsidRPr="00E116B9">
        <w:rPr>
          <w:rFonts w:cs="Times New Roman"/>
        </w:rPr>
        <w:t xml:space="preserve">nie były </w:t>
      </w:r>
      <w:r>
        <w:rPr>
          <w:rFonts w:cs="Times New Roman"/>
        </w:rPr>
        <w:t xml:space="preserve">wcześniej </w:t>
      </w:r>
      <w:r w:rsidRPr="00E116B9">
        <w:rPr>
          <w:rFonts w:cs="Times New Roman"/>
        </w:rPr>
        <w:t>przedmiotem szczegółowych badań na gruncie prawa karnego skarbowego, przy odnotowanym ograniczeniu liczby źródeł o charakterze kompleksowym, w szczególności opracowań monograficznych dotyczących firmanctwa</w:t>
      </w:r>
      <w:r>
        <w:rPr>
          <w:rStyle w:val="Odwoanieprzypisudolnego"/>
          <w:rFonts w:cs="Times New Roman"/>
        </w:rPr>
        <w:footnoteReference w:id="9"/>
      </w:r>
      <w:r w:rsidRPr="00E116B9">
        <w:rPr>
          <w:rFonts w:cs="Times New Roman"/>
        </w:rPr>
        <w:t>.</w:t>
      </w:r>
      <w:r>
        <w:rPr>
          <w:rFonts w:cs="Times New Roman"/>
        </w:rPr>
        <w:t xml:space="preserve"> </w:t>
      </w:r>
    </w:p>
    <w:p w14:paraId="6D572B57" w14:textId="77777777" w:rsidR="001E3B3B" w:rsidRPr="004E1808" w:rsidRDefault="001E3B3B" w:rsidP="001E3B3B">
      <w:pPr>
        <w:pStyle w:val="Bezodstpw"/>
        <w:spacing w:line="360" w:lineRule="auto"/>
        <w:ind w:firstLine="708"/>
        <w:rPr>
          <w:rFonts w:cs="Times New Roman"/>
        </w:rPr>
      </w:pPr>
      <w:r w:rsidRPr="00E116B9">
        <w:rPr>
          <w:rFonts w:cs="Times New Roman"/>
        </w:rPr>
        <w:t xml:space="preserve">Dostrzeżono </w:t>
      </w:r>
      <w:r>
        <w:rPr>
          <w:rFonts w:cs="Times New Roman"/>
        </w:rPr>
        <w:t xml:space="preserve">również </w:t>
      </w:r>
      <w:r w:rsidRPr="00E116B9">
        <w:rPr>
          <w:rFonts w:cs="Times New Roman"/>
        </w:rPr>
        <w:t>zasadnicze rozbieżności dotyczące stosowania terminu „firmant”, w języku prawniczym</w:t>
      </w:r>
      <w:r w:rsidRPr="00E116B9">
        <w:rPr>
          <w:rStyle w:val="Odwoanieprzypisudolnego"/>
          <w:rFonts w:cs="Times New Roman"/>
        </w:rPr>
        <w:footnoteReference w:id="10"/>
      </w:r>
      <w:r w:rsidRPr="00E116B9">
        <w:rPr>
          <w:rFonts w:cs="Times New Roman"/>
        </w:rPr>
        <w:t>,</w:t>
      </w:r>
      <w:r>
        <w:rPr>
          <w:rFonts w:cs="Times New Roman"/>
        </w:rPr>
        <w:t xml:space="preserve"> </w:t>
      </w:r>
      <w:r w:rsidRPr="00E116B9">
        <w:rPr>
          <w:rFonts w:cs="Times New Roman"/>
        </w:rPr>
        <w:t>w  doktryni</w:t>
      </w:r>
      <w:r>
        <w:rPr>
          <w:rFonts w:cs="Times New Roman"/>
        </w:rPr>
        <w:t xml:space="preserve">e </w:t>
      </w:r>
      <w:r w:rsidRPr="00E116B9">
        <w:rPr>
          <w:rFonts w:cs="Times New Roman"/>
        </w:rPr>
        <w:t xml:space="preserve">prawa polskiego, </w:t>
      </w:r>
      <w:r>
        <w:rPr>
          <w:rFonts w:cs="Times New Roman"/>
        </w:rPr>
        <w:t xml:space="preserve">publicystyce prawniczej, </w:t>
      </w:r>
      <w:r w:rsidRPr="00E116B9">
        <w:rPr>
          <w:rFonts w:cs="Times New Roman"/>
        </w:rPr>
        <w:t>jak i  w orzecznictwie sądów powszechnych w sprawach karnych skarbowych jak i w judykatach sądów administracyjnych w sprawach skarbowych</w:t>
      </w:r>
      <w:r>
        <w:rPr>
          <w:rFonts w:cs="Times New Roman"/>
        </w:rPr>
        <w:t xml:space="preserve">. </w:t>
      </w:r>
      <w:r w:rsidRPr="00E116B9">
        <w:rPr>
          <w:rFonts w:eastAsia="Calibri" w:cs="Times New Roman"/>
        </w:rPr>
        <w:t>P</w:t>
      </w:r>
      <w:r w:rsidRPr="00E116B9">
        <w:rPr>
          <w:rFonts w:cs="Times New Roman"/>
        </w:rPr>
        <w:t>owrót w doktrynie prawa polskiego i judykaturze do denotacji „firmanctwa” właściwej dla języka naturalnego</w:t>
      </w:r>
      <w:r w:rsidRPr="00E116B9">
        <w:rPr>
          <w:rStyle w:val="Odwoanieprzypisudolnego"/>
          <w:rFonts w:cs="Times New Roman"/>
        </w:rPr>
        <w:footnoteReference w:id="11"/>
      </w:r>
      <w:r w:rsidRPr="00E116B9">
        <w:rPr>
          <w:rFonts w:cs="Times New Roman"/>
        </w:rPr>
        <w:t xml:space="preserve">, zgodnie z którą firmant to osoba użyczającą swego imienia i nazwiska (nazwy, firmy) jakiemuś przedsięwzięciu, która je firmuje, sankcjonuje swoim autorytetem, </w:t>
      </w:r>
      <w:r>
        <w:rPr>
          <w:rFonts w:cs="Times New Roman"/>
        </w:rPr>
        <w:t>a nie podatnik posługujący się imieniem i nazwiskiem, nazwą i firma innej osoby przyjęto</w:t>
      </w:r>
      <w:r w:rsidRPr="00E116B9">
        <w:rPr>
          <w:rFonts w:cs="Times New Roman"/>
        </w:rPr>
        <w:t xml:space="preserve"> za zasadny.</w:t>
      </w:r>
      <w:r>
        <w:rPr>
          <w:rFonts w:cs="Times New Roman"/>
        </w:rPr>
        <w:t xml:space="preserve"> Podzielono bowiem podgląd A. </w:t>
      </w:r>
      <w:proofErr w:type="spellStart"/>
      <w:r>
        <w:rPr>
          <w:rFonts w:cs="Times New Roman"/>
        </w:rPr>
        <w:t>Choduń</w:t>
      </w:r>
      <w:proofErr w:type="spellEnd"/>
      <w:r>
        <w:rPr>
          <w:rFonts w:cs="Times New Roman"/>
        </w:rPr>
        <w:t>, że „z</w:t>
      </w:r>
      <w:r w:rsidRPr="004C4C18">
        <w:rPr>
          <w:rFonts w:cs="Times New Roman"/>
        </w:rPr>
        <w:t xml:space="preserve">arówno redaktor tekstu prawnego, jak i </w:t>
      </w:r>
      <w:r w:rsidRPr="0051255B">
        <w:rPr>
          <w:rFonts w:cs="Times New Roman"/>
          <w:u w:val="single"/>
        </w:rPr>
        <w:t>jego interpretator</w:t>
      </w:r>
      <w:r w:rsidRPr="004C4C18">
        <w:rPr>
          <w:rFonts w:cs="Times New Roman"/>
        </w:rPr>
        <w:t xml:space="preserve"> (podkr. moje P.T. .) nie mogą polegać na swojej intuicji językowej bez odwoływanie się do języków słownika polskiego,  w których zawarto ustalenia poczynione przez językoznawców</w:t>
      </w:r>
      <w:r>
        <w:rPr>
          <w:rFonts w:cs="Times New Roman"/>
        </w:rPr>
        <w:t>”</w:t>
      </w:r>
      <w:r>
        <w:rPr>
          <w:rStyle w:val="Odwoanieprzypisudolnego"/>
          <w:rFonts w:cs="Times New Roman"/>
        </w:rPr>
        <w:footnoteReference w:id="12"/>
      </w:r>
      <w:r>
        <w:rPr>
          <w:rFonts w:cs="Times New Roman"/>
        </w:rPr>
        <w:t xml:space="preserve">. Bo choć </w:t>
      </w:r>
      <w:r>
        <w:t>„w języku prawniczym wspólnota interpretacyjna ustala znaczenie tych wyrażeń tekstów prawnych, których ustawodawca użył, nie wprowadzając w ich treści definicji legalnych”</w:t>
      </w:r>
      <w:r>
        <w:rPr>
          <w:rStyle w:val="Odwoanieprzypisudolnego"/>
        </w:rPr>
        <w:footnoteReference w:id="13"/>
      </w:r>
      <w:r>
        <w:t xml:space="preserve">, to akceptacja znamienitych przedstawicieli doktryny prawa karnego skarbowego, i prawa administracyjnego dla konwencji terminu firmant, sprzecznej z dostępnymi denotacjami słowników języka polskiego, a nawet </w:t>
      </w:r>
      <w:proofErr w:type="spellStart"/>
      <w:r>
        <w:t>potocyzmami</w:t>
      </w:r>
      <w:proofErr w:type="spellEnd"/>
      <w:r>
        <w:t>, nie zasługuje na akceptację. Prowadzi bowiem do materialnego braku koherencji pomiędzy znaczeniem pojęcia „firmant” w  języku naturalnym, a  językiem prawniczym (</w:t>
      </w:r>
      <w:r w:rsidRPr="00545C6C">
        <w:t>język</w:t>
      </w:r>
      <w:r>
        <w:t>iem</w:t>
      </w:r>
      <w:r w:rsidRPr="00545C6C">
        <w:t xml:space="preserve"> wypowiedzi</w:t>
      </w:r>
      <w:r>
        <w:t xml:space="preserve"> </w:t>
      </w:r>
      <w:r w:rsidRPr="00545C6C">
        <w:t>o</w:t>
      </w:r>
      <w:r>
        <w:t> </w:t>
      </w:r>
      <w:r w:rsidRPr="00545C6C">
        <w:t xml:space="preserve"> obowiązującym prawie)</w:t>
      </w:r>
      <w:r>
        <w:t xml:space="preserve">. Firmant, także w języku potocznym to: </w:t>
      </w:r>
      <w:r w:rsidRPr="00FF6BAA">
        <w:t xml:space="preserve">„figurant”, „kukła”, „przykrywka”, „firma fasadowa”, „słup” , „pozorant”, a w innych niż polskie konotacjach kulturowych także „strach na wróble”. </w:t>
      </w:r>
      <w:r w:rsidRPr="00E116B9">
        <w:rPr>
          <w:rFonts w:cs="Times New Roman"/>
        </w:rPr>
        <w:t>Przemawiają za tym definicje słownikowe, przedwojenny kontekst znaczeniowy związany z funkcjonowaniem „firmy” w  obrocie gospodarczym i wydawane na tym tle orzecznictwo jak i analiza judykatów Sądu Najwyższego, w sprawach karnych skarbowych,  po wejściu w życie u.k.s. z 1960 r.</w:t>
      </w:r>
      <w:r w:rsidRPr="00E116B9">
        <w:rPr>
          <w:rStyle w:val="Odwoanieprzypisudolnego"/>
          <w:rFonts w:cs="Times New Roman"/>
        </w:rPr>
        <w:footnoteReference w:id="14"/>
      </w:r>
      <w:r w:rsidRPr="00E116B9">
        <w:rPr>
          <w:rFonts w:cs="Times New Roman"/>
        </w:rPr>
        <w:t>, a wreszcie przepisy prawa stanowionego regulujące kwestie „firmy ”, od której wywodzony jest termin firmanctwo.</w:t>
      </w:r>
      <w:r w:rsidRPr="00E116B9">
        <w:rPr>
          <w:rFonts w:eastAsia="Calibri" w:cs="Times New Roman"/>
        </w:rPr>
        <w:t xml:space="preserve"> </w:t>
      </w:r>
    </w:p>
    <w:p w14:paraId="44268F08" w14:textId="77777777" w:rsidR="001E3B3B" w:rsidRDefault="001E3B3B" w:rsidP="001E3B3B">
      <w:pPr>
        <w:pStyle w:val="Bezodstpw"/>
        <w:spacing w:line="360" w:lineRule="auto"/>
        <w:rPr>
          <w:rFonts w:cs="Times New Roman"/>
        </w:rPr>
      </w:pPr>
      <w:r>
        <w:rPr>
          <w:rFonts w:cs="Times New Roman"/>
        </w:rPr>
        <w:t xml:space="preserve">Odnotowano </w:t>
      </w:r>
      <w:r w:rsidRPr="00E116B9">
        <w:rPr>
          <w:rFonts w:cs="Times New Roman"/>
        </w:rPr>
        <w:t xml:space="preserve">uznana za istotną, </w:t>
      </w:r>
      <w:r>
        <w:rPr>
          <w:rFonts w:cs="Times New Roman"/>
        </w:rPr>
        <w:t xml:space="preserve">a nie będącą przedmiotem opisu w literaturze przedmiotu, </w:t>
      </w:r>
      <w:r w:rsidRPr="00E116B9">
        <w:rPr>
          <w:rFonts w:cs="Times New Roman"/>
        </w:rPr>
        <w:t xml:space="preserve">częściową kolizję norm art. 55 k.k.s. i art. 3 pkt. 9 o.p., istotą, której to kolizji, jest odwołanie w pierwszej z norm do zatajania prowadzenia działalności gospodarczej </w:t>
      </w:r>
      <w:r>
        <w:rPr>
          <w:rFonts w:cs="Times New Roman"/>
        </w:rPr>
        <w:t>„</w:t>
      </w:r>
      <w:r w:rsidRPr="00E116B9">
        <w:rPr>
          <w:rFonts w:cs="Times New Roman"/>
        </w:rPr>
        <w:t>na własnych rachunek</w:t>
      </w:r>
      <w:r>
        <w:rPr>
          <w:rFonts w:cs="Times New Roman"/>
        </w:rPr>
        <w:t xml:space="preserve">”, w drugiej natomiast „na własny i </w:t>
      </w:r>
      <w:r w:rsidRPr="000000D1">
        <w:rPr>
          <w:rFonts w:cs="Times New Roman"/>
          <w:u w:val="single"/>
        </w:rPr>
        <w:t>cudzy rachunek</w:t>
      </w:r>
      <w:r>
        <w:rPr>
          <w:rFonts w:cs="Times New Roman"/>
        </w:rPr>
        <w:t>” (podkr. moje P.T.).</w:t>
      </w:r>
    </w:p>
    <w:p w14:paraId="164A0B70" w14:textId="77777777" w:rsidR="001E3B3B" w:rsidRDefault="001E3B3B" w:rsidP="001E3B3B">
      <w:pPr>
        <w:pStyle w:val="Bezodstpw"/>
        <w:spacing w:line="360" w:lineRule="auto"/>
        <w:ind w:firstLine="708"/>
        <w:rPr>
          <w:rFonts w:cs="Times New Roman"/>
        </w:rPr>
      </w:pPr>
      <w:r w:rsidRPr="00321FF6">
        <w:rPr>
          <w:rFonts w:cs="Times New Roman"/>
        </w:rPr>
        <w:t xml:space="preserve">Główną tezą pracy jest stwierdzenie, że </w:t>
      </w:r>
      <w:r w:rsidRPr="00E116B9">
        <w:rPr>
          <w:rFonts w:cs="Times New Roman"/>
        </w:rPr>
        <w:t>utrzymanie kryminalizacji firmanctwa w kodeksie karnym skarbowym, który wszedł w życie 17 października 1999 r. na mocy art. 55 k.k.s. nie było uzasadnione, ze względu na „zbyt łatwą akceptację zastanego zakresu kryminalizacji”</w:t>
      </w:r>
      <w:r w:rsidRPr="00E116B9">
        <w:rPr>
          <w:rStyle w:val="Odwoanieprzypisudolnego"/>
          <w:rFonts w:cs="Times New Roman"/>
        </w:rPr>
        <w:footnoteReference w:id="15"/>
      </w:r>
      <w:r w:rsidRPr="00E116B9">
        <w:rPr>
          <w:rFonts w:cs="Times New Roman"/>
        </w:rPr>
        <w:t xml:space="preserve">. W trakcie prac nad projektem k.k.s. nie dostrzeżono, </w:t>
      </w:r>
      <w:r>
        <w:rPr>
          <w:rFonts w:cs="Times New Roman"/>
        </w:rPr>
        <w:t xml:space="preserve">wspomnianej na wstępie </w:t>
      </w:r>
      <w:r w:rsidRPr="00E116B9">
        <w:rPr>
          <w:rFonts w:cs="Times New Roman"/>
        </w:rPr>
        <w:t xml:space="preserve">radykalnej </w:t>
      </w:r>
      <w:r>
        <w:rPr>
          <w:rFonts w:cs="Times New Roman"/>
        </w:rPr>
        <w:t xml:space="preserve">normatywnej </w:t>
      </w:r>
      <w:r w:rsidRPr="00E116B9">
        <w:rPr>
          <w:rFonts w:cs="Times New Roman"/>
        </w:rPr>
        <w:t>zmiany paradygmatu  prowadzenia działalności gospodarczej</w:t>
      </w:r>
      <w:r>
        <w:rPr>
          <w:rFonts w:cs="Times New Roman"/>
        </w:rPr>
        <w:t xml:space="preserve"> w ustawie z 23 grudnia 1988 tzw. „ustawie Wilczka”</w:t>
      </w:r>
      <w:r w:rsidRPr="00283F0D">
        <w:rPr>
          <w:rStyle w:val="Odwoanieprzypisudolnego"/>
          <w:rFonts w:cs="Times New Roman"/>
        </w:rPr>
        <w:t xml:space="preserve"> </w:t>
      </w:r>
      <w:r w:rsidRPr="00E116B9">
        <w:rPr>
          <w:rStyle w:val="Odwoanieprzypisudolnego"/>
          <w:rFonts w:cs="Times New Roman"/>
        </w:rPr>
        <w:footnoteReference w:id="16"/>
      </w:r>
      <w:r w:rsidRPr="00E116B9">
        <w:rPr>
          <w:rFonts w:cs="Times New Roman"/>
        </w:rPr>
        <w:t>,</w:t>
      </w:r>
      <w:r>
        <w:rPr>
          <w:rFonts w:cs="Times New Roman"/>
        </w:rPr>
        <w:t xml:space="preserve"> </w:t>
      </w:r>
      <w:r w:rsidRPr="00E116B9">
        <w:rPr>
          <w:rFonts w:cs="Times New Roman"/>
        </w:rPr>
        <w:t xml:space="preserve">bądź </w:t>
      </w:r>
      <w:r>
        <w:rPr>
          <w:rFonts w:cs="Times New Roman"/>
        </w:rPr>
        <w:t xml:space="preserve">też pominięto </w:t>
      </w:r>
      <w:r w:rsidRPr="00E116B9">
        <w:rPr>
          <w:rFonts w:cs="Times New Roman"/>
        </w:rPr>
        <w:t>fundamentalną zmianę realiów społeczno-gospodarczych 4 czerwca 1989 r. (data umowna)</w:t>
      </w:r>
      <w:r>
        <w:rPr>
          <w:rFonts w:cs="Times New Roman"/>
        </w:rPr>
        <w:t xml:space="preserve">, a wreszcie nie uwzględniono konsekwencji akcesji R.P. do Unii Europejskiej. TFUE wprowadza bowiem </w:t>
      </w:r>
      <w:r w:rsidRPr="00E116B9">
        <w:rPr>
          <w:rFonts w:cs="Times New Roman"/>
        </w:rPr>
        <w:t>wyraźny zakaz ograniczenia swobody przedsiębiorczości obywateli jednego Państwa Członkowskiego na terytorium innego Państwa Członkowskieg</w:t>
      </w:r>
      <w:r>
        <w:rPr>
          <w:rFonts w:cs="Times New Roman"/>
        </w:rPr>
        <w:t xml:space="preserve">o. Swoboda przedsiębiorczości (ang. </w:t>
      </w:r>
      <w:r w:rsidRPr="00F01B42">
        <w:rPr>
          <w:rFonts w:cs="Times New Roman"/>
          <w:i/>
          <w:iCs/>
        </w:rPr>
        <w:t>freedom of e</w:t>
      </w:r>
      <w:r>
        <w:rPr>
          <w:rFonts w:cs="Times New Roman"/>
          <w:i/>
          <w:iCs/>
        </w:rPr>
        <w:t>s</w:t>
      </w:r>
      <w:r w:rsidRPr="00F01B42">
        <w:rPr>
          <w:rFonts w:cs="Times New Roman"/>
          <w:i/>
          <w:iCs/>
        </w:rPr>
        <w:t>t</w:t>
      </w:r>
      <w:r>
        <w:rPr>
          <w:rFonts w:cs="Times New Roman"/>
          <w:i/>
          <w:iCs/>
        </w:rPr>
        <w:t>a</w:t>
      </w:r>
      <w:r w:rsidRPr="00F01B42">
        <w:rPr>
          <w:rFonts w:cs="Times New Roman"/>
          <w:i/>
          <w:iCs/>
        </w:rPr>
        <w:t>blishment</w:t>
      </w:r>
      <w:r>
        <w:rPr>
          <w:rFonts w:cs="Times New Roman"/>
        </w:rPr>
        <w:t>)</w:t>
      </w:r>
      <w:r>
        <w:rPr>
          <w:rStyle w:val="Odwoanieprzypisudolnego"/>
          <w:rFonts w:cs="Times New Roman"/>
        </w:rPr>
        <w:footnoteReference w:id="17"/>
      </w:r>
      <w:r>
        <w:rPr>
          <w:rFonts w:cs="Times New Roman"/>
        </w:rPr>
        <w:t xml:space="preserve"> </w:t>
      </w:r>
      <w:r w:rsidRPr="00E116B9">
        <w:rPr>
          <w:rFonts w:cs="Times New Roman"/>
        </w:rPr>
        <w:t>obejmuje możliwość podejmowania i wykonywania działalności prowadzonej na własny rachunek, jak również zakładania i zarządzania przedsiębiorstwami</w:t>
      </w:r>
      <w:r>
        <w:rPr>
          <w:rFonts w:cs="Times New Roman"/>
        </w:rPr>
        <w:t xml:space="preserve">, </w:t>
      </w:r>
      <w:r w:rsidRPr="004F1A1B">
        <w:rPr>
          <w:rFonts w:cs="Times New Roman"/>
        </w:rPr>
        <w:t>na warunkach określonych przez ustawodawstwo innego państwa członkowskiego UE dla własnych obywateli</w:t>
      </w:r>
      <w:r>
        <w:rPr>
          <w:rFonts w:cs="Times New Roman"/>
        </w:rPr>
        <w:t xml:space="preserve"> na </w:t>
      </w:r>
      <w:r w:rsidRPr="004F1A1B">
        <w:rPr>
          <w:rFonts w:cs="Times New Roman"/>
        </w:rPr>
        <w:t xml:space="preserve">rynku wewnętrznym UE tj. obszarze </w:t>
      </w:r>
      <w:r>
        <w:rPr>
          <w:rFonts w:cs="Times New Roman"/>
        </w:rPr>
        <w:t>„</w:t>
      </w:r>
      <w:r w:rsidRPr="004F1A1B">
        <w:rPr>
          <w:rFonts w:cs="Times New Roman"/>
        </w:rPr>
        <w:t>bez granic wewnętrznych, na którym zostaje zapewniony swobodny przepływ towarów, osób, usług i kapitału”</w:t>
      </w:r>
      <w:r>
        <w:rPr>
          <w:rFonts w:cs="Times New Roman"/>
        </w:rPr>
        <w:t xml:space="preserve">. Jeśli prawo Zjednoczonego Królestwa, Republiki Cypru, Malty, dopuszczało ukrywanie tożsamości osoby prowadzącej działalność, to należało przyjąć, że </w:t>
      </w:r>
      <w:r>
        <w:rPr>
          <w:rFonts w:cs="Times New Roman"/>
          <w:i/>
          <w:iCs/>
        </w:rPr>
        <w:t xml:space="preserve">modus operandi </w:t>
      </w:r>
      <w:r>
        <w:rPr>
          <w:rFonts w:cs="Times New Roman"/>
        </w:rPr>
        <w:t xml:space="preserve">z art. 55 k.k.s. najpóźniej 1 maja 2004 nie podlegał już kryminalizacji.  </w:t>
      </w:r>
    </w:p>
    <w:p w14:paraId="31A57FE3" w14:textId="77777777" w:rsidR="001E3B3B" w:rsidRDefault="001E3B3B" w:rsidP="001E3B3B">
      <w:pPr>
        <w:pStyle w:val="Bezodstpw"/>
        <w:spacing w:line="360" w:lineRule="auto"/>
        <w:ind w:firstLine="708"/>
        <w:rPr>
          <w:rFonts w:cs="Times New Roman"/>
        </w:rPr>
      </w:pPr>
      <w:r>
        <w:rPr>
          <w:rFonts w:cs="Times New Roman"/>
        </w:rPr>
        <w:t xml:space="preserve">Przemawia za tym również zasada </w:t>
      </w:r>
      <w:r w:rsidRPr="00E116B9">
        <w:rPr>
          <w:rFonts w:cs="Times New Roman"/>
        </w:rPr>
        <w:t xml:space="preserve"> </w:t>
      </w:r>
      <w:r w:rsidRPr="00E116B9">
        <w:rPr>
          <w:rFonts w:cs="Times New Roman"/>
          <w:i/>
          <w:iCs/>
        </w:rPr>
        <w:t>in dubio pro libertate</w:t>
      </w:r>
      <w:r>
        <w:rPr>
          <w:rStyle w:val="Odwoanieprzypisudolnego"/>
          <w:rFonts w:cs="Times New Roman"/>
          <w:i/>
          <w:iCs/>
        </w:rPr>
        <w:footnoteReference w:id="18"/>
      </w:r>
      <w:r w:rsidRPr="00E116B9">
        <w:rPr>
          <w:rFonts w:cs="Times New Roman"/>
        </w:rPr>
        <w:t xml:space="preserve">, </w:t>
      </w:r>
      <w:r>
        <w:rPr>
          <w:rFonts w:cs="Times New Roman"/>
        </w:rPr>
        <w:t xml:space="preserve">wywodzona nie tylko z doktryny prawa karnego, ale także </w:t>
      </w:r>
      <w:r w:rsidRPr="00E116B9">
        <w:rPr>
          <w:rFonts w:cs="Times New Roman"/>
        </w:rPr>
        <w:t>wyrażon</w:t>
      </w:r>
      <w:r>
        <w:rPr>
          <w:rFonts w:cs="Times New Roman"/>
        </w:rPr>
        <w:t xml:space="preserve">a obecnie </w:t>
      </w:r>
      <w:r w:rsidRPr="00E116B9">
        <w:rPr>
          <w:rFonts w:cs="Times New Roman"/>
        </w:rPr>
        <w:t>w art. 11 ust. 1 ustawy z dnia 6 marca 2018 r. - Prawo przedsiębiorców</w:t>
      </w:r>
      <w:r w:rsidRPr="00E116B9">
        <w:rPr>
          <w:rStyle w:val="Odwoanieprzypisudolnego"/>
          <w:rFonts w:cs="Times New Roman"/>
        </w:rPr>
        <w:footnoteReference w:id="19"/>
      </w:r>
      <w:r w:rsidRPr="00E116B9">
        <w:rPr>
          <w:rFonts w:cs="Times New Roman"/>
        </w:rPr>
        <w:t xml:space="preserve"> w brzmieniu: „Jeżeli przedmiotem postępowania przed organem jest nałożenie na przedsiębiorcę obowiązku bądź ograniczenie lub odebranie uprawnienia, a w sprawie pozostają wątpliwości co do treści normy prawnej, wątpliwości te są rozstrzygane na korzyść przedsiębiorcy, chyba że sprzeciwiają się temu sporne interesy stron albo interesy osób trzecich, na które wynik postępowania ma bezpośredni wpływ” </w:t>
      </w:r>
      <w:r>
        <w:rPr>
          <w:rFonts w:cs="Times New Roman"/>
        </w:rPr>
        <w:t xml:space="preserve">wraz z </w:t>
      </w:r>
      <w:r w:rsidRPr="00E116B9">
        <w:rPr>
          <w:rFonts w:cs="Times New Roman"/>
        </w:rPr>
        <w:t xml:space="preserve">zasadą </w:t>
      </w:r>
      <w:r w:rsidRPr="00E116B9">
        <w:rPr>
          <w:rFonts w:cs="Times New Roman"/>
          <w:i/>
          <w:iCs/>
        </w:rPr>
        <w:t>in dubio pro tributario</w:t>
      </w:r>
      <w:r w:rsidRPr="00E116B9">
        <w:rPr>
          <w:rFonts w:cs="Times New Roman"/>
        </w:rPr>
        <w:t xml:space="preserve"> z art. 2a o.p..w brzmieniu: „Niedające się usunąć wątpliwości co do treści przepisów prawa podatkowego rozstrzyga się na korzyść podatnika”.</w:t>
      </w:r>
      <w:r>
        <w:rPr>
          <w:rFonts w:cs="Times New Roman"/>
        </w:rPr>
        <w:t xml:space="preserve"> </w:t>
      </w:r>
      <w:r w:rsidRPr="00E116B9">
        <w:rPr>
          <w:rFonts w:cs="Times New Roman"/>
        </w:rPr>
        <w:t>Opisane wyżej kwestie w łącznym ujęciu, przemawiają za uchyleniem normy art. 55 k.k.s.</w:t>
      </w:r>
      <w:r w:rsidRPr="00E116B9">
        <w:rPr>
          <w:rStyle w:val="Odwoanieprzypisudolnego"/>
          <w:rFonts w:cs="Times New Roman"/>
        </w:rPr>
        <w:footnoteReference w:id="20"/>
      </w:r>
      <w:r>
        <w:rPr>
          <w:rFonts w:cs="Times New Roman"/>
        </w:rPr>
        <w:t>.</w:t>
      </w:r>
    </w:p>
    <w:p w14:paraId="3527E3C8" w14:textId="77777777" w:rsidR="001E3B3B" w:rsidRDefault="001E3B3B" w:rsidP="001E3B3B">
      <w:pPr>
        <w:pStyle w:val="Bezodstpw"/>
        <w:spacing w:line="360" w:lineRule="auto"/>
        <w:ind w:firstLine="708"/>
        <w:rPr>
          <w:rFonts w:cs="Times New Roman"/>
        </w:rPr>
      </w:pPr>
      <w:r>
        <w:rPr>
          <w:rFonts w:cs="Times New Roman"/>
        </w:rPr>
        <w:t xml:space="preserve">Zaprezentowane wnioskowanie nie </w:t>
      </w:r>
      <w:r w:rsidRPr="00E116B9">
        <w:rPr>
          <w:rFonts w:cs="Times New Roman"/>
        </w:rPr>
        <w:t>może być utożsamiane z wyłączeni</w:t>
      </w:r>
      <w:r>
        <w:rPr>
          <w:rFonts w:cs="Times New Roman"/>
        </w:rPr>
        <w:t xml:space="preserve">em, czynu, który doprowadza  do narażania podatku na uszczuplenie </w:t>
      </w:r>
      <w:r w:rsidRPr="00E116B9">
        <w:rPr>
          <w:rFonts w:cs="Times New Roman"/>
        </w:rPr>
        <w:t>z kręgu przestępstw (dekryminalizacja)</w:t>
      </w:r>
      <w:r w:rsidRPr="00E116B9">
        <w:rPr>
          <w:rStyle w:val="Odwoanieprzypisudolnego"/>
          <w:rFonts w:cs="Times New Roman"/>
        </w:rPr>
        <w:footnoteReference w:id="21"/>
      </w:r>
      <w:r>
        <w:rPr>
          <w:rFonts w:cs="Times New Roman"/>
        </w:rPr>
        <w:t>. N</w:t>
      </w:r>
      <w:r w:rsidRPr="00E116B9">
        <w:rPr>
          <w:rFonts w:cs="Times New Roman"/>
        </w:rPr>
        <w:t>arażeni</w:t>
      </w:r>
      <w:r>
        <w:rPr>
          <w:rFonts w:cs="Times New Roman"/>
        </w:rPr>
        <w:t>e</w:t>
      </w:r>
      <w:r w:rsidRPr="00E116B9">
        <w:rPr>
          <w:rFonts w:cs="Times New Roman"/>
        </w:rPr>
        <w:t xml:space="preserve"> podatku na uszczuplenie</w:t>
      </w:r>
      <w:r>
        <w:rPr>
          <w:rFonts w:cs="Times New Roman"/>
        </w:rPr>
        <w:t xml:space="preserve"> bądź uszczuplenie,  podlegać będzie kryminalizacji na mocy </w:t>
      </w:r>
      <w:r w:rsidRPr="00E116B9">
        <w:rPr>
          <w:rFonts w:cs="Times New Roman"/>
        </w:rPr>
        <w:t xml:space="preserve">art. 54 k.k.s. </w:t>
      </w:r>
      <w:r>
        <w:rPr>
          <w:rFonts w:cs="Times New Roman"/>
        </w:rPr>
        <w:t xml:space="preserve">i art. 56 k.k.s.. Treść norm tych przepisów </w:t>
      </w:r>
      <w:r w:rsidRPr="00E116B9">
        <w:rPr>
          <w:rFonts w:cs="Times New Roman"/>
        </w:rPr>
        <w:t xml:space="preserve">odróżnia </w:t>
      </w:r>
      <w:r>
        <w:rPr>
          <w:rFonts w:cs="Times New Roman"/>
        </w:rPr>
        <w:t xml:space="preserve">od przepisu o firmanctwie, </w:t>
      </w:r>
      <w:r w:rsidRPr="00E116B9">
        <w:rPr>
          <w:rFonts w:cs="Times New Roman"/>
        </w:rPr>
        <w:t>wyłącznie rodzaj przychodu, który w wypadku art. 55 k.k.s. przypisany jest do źródła „ działalność gospodarcza”</w:t>
      </w:r>
      <w:r>
        <w:rPr>
          <w:rFonts w:cs="Times New Roman"/>
        </w:rPr>
        <w:t xml:space="preserve">. W </w:t>
      </w:r>
      <w:r w:rsidRPr="00E116B9">
        <w:rPr>
          <w:rFonts w:cs="Times New Roman"/>
        </w:rPr>
        <w:t xml:space="preserve">obydwu </w:t>
      </w:r>
      <w:r>
        <w:rPr>
          <w:rFonts w:cs="Times New Roman"/>
        </w:rPr>
        <w:t xml:space="preserve">zaś </w:t>
      </w:r>
      <w:r w:rsidRPr="00E116B9">
        <w:rPr>
          <w:rFonts w:cs="Times New Roman"/>
        </w:rPr>
        <w:t>wypadkach: wierzycielami podatkowymi są te same podmioty (Skarb Państwa, jednostka samorządu terytorialnego i UE). Skutkiem obydwu deliktów, może być narażenie podatku na uszczuplenie, a sprawca uchyla się od ujawnienia w postępowaniu podatkowym, informacji o  przedmiocie i podstawie opodatkowania</w:t>
      </w:r>
      <w:r>
        <w:rPr>
          <w:rFonts w:cs="Times New Roman"/>
        </w:rPr>
        <w:t xml:space="preserve">, także sankcja z art. 54 k.k.s nie jest mniej dolegliwa. </w:t>
      </w:r>
    </w:p>
    <w:p w14:paraId="565A51F6" w14:textId="13278E25" w:rsidR="001E3B3B" w:rsidRDefault="001E3B3B" w:rsidP="001E3B3B">
      <w:pPr>
        <w:pStyle w:val="Bezodstpw"/>
        <w:spacing w:line="360" w:lineRule="auto"/>
        <w:ind w:firstLine="708"/>
        <w:rPr>
          <w:rFonts w:cs="Times New Roman"/>
        </w:rPr>
      </w:pPr>
      <w:r>
        <w:rPr>
          <w:rFonts w:cs="Times New Roman"/>
        </w:rPr>
        <w:t xml:space="preserve">Ustalono również, że </w:t>
      </w:r>
      <w:r w:rsidRPr="00E116B9">
        <w:rPr>
          <w:rFonts w:cs="Times New Roman"/>
        </w:rPr>
        <w:t>przyjmowanie kwalifikacji deliktu skarbowego z art. 55 k.k.s. w zbiegu z   przestępstwami, określonymi (typizowanymi) w art. 270a k.k., art. 271a k.k. i   art. 277a k.k., w wypadku wspomnianych wcześniej „przestępstw karuzelowych” nie znajduje podstaw</w:t>
      </w:r>
      <w:r>
        <w:rPr>
          <w:rFonts w:cs="Times New Roman"/>
        </w:rPr>
        <w:t>, jako że d</w:t>
      </w:r>
      <w:r w:rsidRPr="00E116B9">
        <w:rPr>
          <w:rFonts w:cs="Times New Roman"/>
        </w:rPr>
        <w:t xml:space="preserve">ziałalność gospodarcza </w:t>
      </w:r>
      <w:r>
        <w:rPr>
          <w:rFonts w:cs="Times New Roman"/>
        </w:rPr>
        <w:t xml:space="preserve">firmowanego o ile w ogóle ma miejsce, </w:t>
      </w:r>
      <w:r w:rsidRPr="00E116B9">
        <w:rPr>
          <w:rFonts w:cs="Times New Roman"/>
        </w:rPr>
        <w:t xml:space="preserve">ma charakter pozorny, a tym samym nie wypełnia znamiona zatajania prowadzenia działalności gospodarczej </w:t>
      </w:r>
      <w:r>
        <w:rPr>
          <w:rFonts w:cs="Times New Roman"/>
        </w:rPr>
        <w:t xml:space="preserve">z </w:t>
      </w:r>
      <w:r w:rsidRPr="00E116B9">
        <w:rPr>
          <w:rFonts w:cs="Times New Roman"/>
        </w:rPr>
        <w:t>art. 55 k.k.s..</w:t>
      </w:r>
      <w:r>
        <w:rPr>
          <w:rFonts w:cs="Times New Roman"/>
        </w:rPr>
        <w:t xml:space="preserve">  Powyższe stwierdzenie nie dotyczy firmanta (firmującego), który prowadzi faktyczną działalność gospodarczą, i „</w:t>
      </w:r>
      <w:r w:rsidRPr="009474C6">
        <w:rPr>
          <w:rFonts w:cs="Times New Roman"/>
        </w:rPr>
        <w:t>zostaje nieświadomie wykorzystany do popełnienia oszustwa podatkowego przez określoną osobę czy grupę osób</w:t>
      </w:r>
      <w:r>
        <w:rPr>
          <w:rFonts w:cs="Times New Roman"/>
        </w:rPr>
        <w:t>”</w:t>
      </w:r>
      <w:r>
        <w:rPr>
          <w:rStyle w:val="Odwoanieprzypisudolnego"/>
          <w:rFonts w:cs="Times New Roman"/>
        </w:rPr>
        <w:footnoteReference w:id="22"/>
      </w:r>
      <w:r>
        <w:rPr>
          <w:rFonts w:cs="Times New Roman"/>
        </w:rPr>
        <w:t>.</w:t>
      </w:r>
    </w:p>
    <w:p w14:paraId="62073031" w14:textId="77777777" w:rsidR="001E3B3B" w:rsidRPr="00A50B67" w:rsidRDefault="001E3B3B" w:rsidP="001E3B3B">
      <w:pPr>
        <w:pStyle w:val="Bezodstpw"/>
        <w:spacing w:line="360" w:lineRule="auto"/>
        <w:ind w:firstLine="708"/>
        <w:rPr>
          <w:rFonts w:cs="Times New Roman"/>
        </w:rPr>
      </w:pPr>
      <w:r w:rsidRPr="00A50B67">
        <w:rPr>
          <w:rFonts w:cs="Times New Roman"/>
        </w:rPr>
        <w:t xml:space="preserve">Zauważono, że coraz powszechniejsze stosowanie przez polskie organy podatkowe i sądy administracyjne tzw. wykładni gospodarczej  prawa podatkowego, która sięgając korzeniami do doktryn orzeczniczych </w:t>
      </w:r>
      <w:r w:rsidRPr="00A50B67">
        <w:rPr>
          <w:rFonts w:cs="Times New Roman"/>
          <w:i/>
          <w:iCs/>
        </w:rPr>
        <w:t>common law</w:t>
      </w:r>
      <w:r w:rsidRPr="00A50B67">
        <w:rPr>
          <w:rFonts w:cs="Times New Roman"/>
        </w:rPr>
        <w:t xml:space="preserve">, znalazła zastosowanie w orzecznictwie TS ( ang. by reference to the  economic substance)  i była wykorzystywana początkowo,  do zapewnienia największej praktycznie skuteczności norm Unii Europejskiej (ang. effect utile) w  postępowaniach dotyczących koncentracji ponadnarodowych przedsiębiorstw na gruncie prawa antymonopolowego, a następnie również w sprawach podatkowych  i która stała się elementem </w:t>
      </w:r>
      <w:r w:rsidRPr="00A50B67">
        <w:rPr>
          <w:rFonts w:cs="Times New Roman"/>
          <w:i/>
          <w:iCs/>
        </w:rPr>
        <w:t>acquis communautaire</w:t>
      </w:r>
      <w:r w:rsidRPr="00A50B67">
        <w:rPr>
          <w:rFonts w:cs="Times New Roman"/>
        </w:rPr>
        <w:t xml:space="preserve"> , rodzić może nieważkie implikacje na gruncie prawa kontynentalnego, w  tym w szczególności dla stosowania prawa skarbowego przez organy podatkowe oraz w konsekwencji prawa karnego skarbowego. </w:t>
      </w:r>
    </w:p>
    <w:p w14:paraId="48D0C23C" w14:textId="7D5968F2" w:rsidR="001E3B3B" w:rsidRDefault="001E3B3B" w:rsidP="001E3B3B">
      <w:pPr>
        <w:pStyle w:val="Bezodstpw"/>
        <w:spacing w:line="360" w:lineRule="auto"/>
        <w:ind w:firstLine="708"/>
        <w:rPr>
          <w:rFonts w:cs="Times New Roman"/>
        </w:rPr>
      </w:pPr>
      <w:bookmarkStart w:id="3" w:name="_Hlk152049746"/>
      <w:r w:rsidRPr="00A50B67">
        <w:rPr>
          <w:rFonts w:cs="Times New Roman"/>
        </w:rPr>
        <w:t>Podjęto próbę analizy zagadnień kryminalizacji w ujęciu opisowym i normatywnym,  co nie byłoby możliwe, bez posłużenia się ujęciem zagadnień teorii oraz schematem uwzględniającym przesłanki absolutne</w:t>
      </w:r>
      <w:r>
        <w:rPr>
          <w:rStyle w:val="Odwoanieprzypisudolnego"/>
          <w:rFonts w:cs="Times New Roman"/>
        </w:rPr>
        <w:footnoteReference w:id="23"/>
      </w:r>
      <w:r w:rsidRPr="00A50B67">
        <w:rPr>
          <w:rFonts w:cs="Times New Roman"/>
        </w:rPr>
        <w:t xml:space="preserve"> i przesłanki względne kryminalizacji autorstwa L. Gardockiego , które </w:t>
      </w:r>
      <w:r>
        <w:rPr>
          <w:rFonts w:cs="Times New Roman"/>
        </w:rPr>
        <w:t xml:space="preserve">ze </w:t>
      </w:r>
      <w:r w:rsidRPr="00A50B67">
        <w:rPr>
          <w:rFonts w:cs="Times New Roman"/>
        </w:rPr>
        <w:t>względu na problematykę pracy miały charakter nie tylko merytoryczny, ale także immanentnie metodologiczny.</w:t>
      </w:r>
      <w:r w:rsidRPr="001E3B3B">
        <w:t xml:space="preserve"> </w:t>
      </w:r>
      <w:r>
        <w:rPr>
          <w:rFonts w:cs="Times New Roman"/>
        </w:rPr>
        <w:t xml:space="preserve">Opisane w pracy </w:t>
      </w:r>
      <w:r w:rsidRPr="001E3B3B">
        <w:rPr>
          <w:rFonts w:cs="Times New Roman"/>
        </w:rPr>
        <w:t>okoliczności o charakterze faktycznym i prawnym, nie zapominając o systemie wartości, stojącym za funkcjonowaniem R.P. jako demokratycznego państwa prawnego, będącego częścią UE, zostały skonfrontowane z modelem „procedowania przy rozważaniu kwestii kryminalizacji”  w modelach R. Frase’a, H. Günthera, i częściowo H. Jägera, oraz w całości, w oparciu o procedurę zaproponowaną przez L. Gardockiego, uznaną za najbardziej miarodajną.</w:t>
      </w:r>
    </w:p>
    <w:bookmarkEnd w:id="3"/>
    <w:p w14:paraId="0BB849FF" w14:textId="77777777" w:rsidR="001E3B3B" w:rsidRPr="00A50B67" w:rsidRDefault="001E3B3B" w:rsidP="001E3B3B">
      <w:pPr>
        <w:pStyle w:val="Bezodstpw"/>
        <w:spacing w:line="360" w:lineRule="auto"/>
        <w:rPr>
          <w:rFonts w:cs="Times New Roman"/>
        </w:rPr>
      </w:pPr>
      <w:r>
        <w:rPr>
          <w:rFonts w:cs="Times New Roman"/>
        </w:rPr>
        <w:t>Uwzględniając zasadę subsydiarności prawa karnego skarbowego wobec prawa skarbowego, w zakończeniu przywołano współczesna problematykę prawa skarbowego. Rozważania, w tym zakresie podsumowane musiały być refleksjami, co do kwestii: granic pomiędzy kryminalizowanym uchylaniem się od opodatkowania, legalnym unikaniem opodatkowania, nie zapominając o trzeciej kategorii – przypisywanej zazwyczaj działaniom zarządów ponadnarodowych korporacji</w:t>
      </w:r>
      <w:r>
        <w:rPr>
          <w:rStyle w:val="Odwoanieprzypisudolnego"/>
          <w:rFonts w:cs="Times New Roman"/>
        </w:rPr>
        <w:footnoteReference w:id="24"/>
      </w:r>
      <w:r>
        <w:rPr>
          <w:rFonts w:cs="Times New Roman"/>
        </w:rPr>
        <w:t xml:space="preserve"> - nazywanej w  przestrzeni publicznej i w literaturze agresywnym unikaniem opodatkowania</w:t>
      </w:r>
      <w:r>
        <w:rPr>
          <w:rStyle w:val="Odwoanieprzypisudolnego"/>
          <w:rFonts w:cs="Times New Roman"/>
        </w:rPr>
        <w:footnoteReference w:id="25"/>
      </w:r>
      <w:r>
        <w:rPr>
          <w:rFonts w:cs="Times New Roman"/>
        </w:rPr>
        <w:t xml:space="preserve">, której status w doktrynie prawa karnego skarbowego, określić można wciąż jako </w:t>
      </w:r>
      <w:r w:rsidRPr="7287F304">
        <w:rPr>
          <w:rFonts w:cs="Times New Roman"/>
          <w:i/>
          <w:iCs/>
        </w:rPr>
        <w:t>in statu nascendi.</w:t>
      </w:r>
    </w:p>
    <w:p w14:paraId="37FB7914" w14:textId="77777777" w:rsidR="001E3B3B" w:rsidRDefault="001E3B3B" w:rsidP="001E3B3B">
      <w:pPr>
        <w:pStyle w:val="Bezodstpw"/>
        <w:spacing w:line="360" w:lineRule="auto"/>
        <w:rPr>
          <w:rFonts w:cs="Times New Roman"/>
        </w:rPr>
      </w:pPr>
      <w:bookmarkStart w:id="4" w:name="_Hlk151924224"/>
      <w:r>
        <w:rPr>
          <w:rFonts w:cs="Times New Roman"/>
        </w:rPr>
        <w:t xml:space="preserve">Odpowiadając na cztery pytania eksploracyjne uznano, że </w:t>
      </w:r>
      <w:r w:rsidRPr="00080925">
        <w:rPr>
          <w:rFonts w:cs="Times New Roman"/>
        </w:rPr>
        <w:t>p</w:t>
      </w:r>
      <w:r>
        <w:rPr>
          <w:rFonts w:cs="Times New Roman"/>
        </w:rPr>
        <w:t xml:space="preserve">olskie </w:t>
      </w:r>
      <w:r w:rsidRPr="00080925">
        <w:rPr>
          <w:rFonts w:cs="Times New Roman"/>
        </w:rPr>
        <w:t xml:space="preserve">prawo karne  skarbowe będące „częścią polskiego systemu prawa karnego”  </w:t>
      </w:r>
      <w:r>
        <w:rPr>
          <w:rFonts w:cs="Times New Roman"/>
        </w:rPr>
        <w:t xml:space="preserve">nie może </w:t>
      </w:r>
      <w:r w:rsidRPr="00080925">
        <w:rPr>
          <w:rFonts w:cs="Times New Roman"/>
        </w:rPr>
        <w:t>być wciąż  postrzegane – jak niemal dziewięćdziesiąt lat temu opisywał je Władysław Wolter -  jako „prawo  nieprzekraczalnych granic”, które wyznacza linię podziału między tym, „co jest prawnie dozwolone, a  tym, co jest zabronione i karalne”</w:t>
      </w:r>
      <w:r>
        <w:rPr>
          <w:rFonts w:cs="Times New Roman"/>
        </w:rPr>
        <w:t>. J</w:t>
      </w:r>
      <w:r w:rsidRPr="00080925">
        <w:rPr>
          <w:rFonts w:cs="Times New Roman"/>
        </w:rPr>
        <w:t xml:space="preserve">ęzyk aktów normatywnych prawa </w:t>
      </w:r>
      <w:r>
        <w:rPr>
          <w:rFonts w:cs="Times New Roman"/>
        </w:rPr>
        <w:t xml:space="preserve">skarbowego nie może być uznany za </w:t>
      </w:r>
      <w:r w:rsidRPr="00080925">
        <w:rPr>
          <w:rFonts w:cs="Times New Roman"/>
        </w:rPr>
        <w:t>doskonały, charakteryzujący  się precyzją, określonością i jednoznacznością stosowanych związków semantyczno-syntaktycznych, które w   konsekwencji w razie sporu pomiędzy organami państwa a podatnikami, także w wypadku wszczęcia postepowania karnego (-skarbowego – przyp. aut.), okażą się „na tyle zrozumiałe dla przeciętnych obywateli, aby nie dysponując odpowiednim przygotowaniem prawniczym i  umiejętnością przeprowadzania skomplikowanych procederu wykładni normy karnej</w:t>
      </w:r>
      <w:r>
        <w:rPr>
          <w:rFonts w:cs="Times New Roman"/>
        </w:rPr>
        <w:t xml:space="preserve">- </w:t>
      </w:r>
      <w:r w:rsidRPr="00080925">
        <w:rPr>
          <w:rFonts w:cs="Times New Roman"/>
        </w:rPr>
        <w:t>skarbowej – przyp. aut.)  z  przepisu karnego (-skarbowego -przyp. aut.), mogli ustalić, co można, a czego nie można czynić</w:t>
      </w:r>
      <w:r>
        <w:rPr>
          <w:rStyle w:val="Odwoanieprzypisudolnego"/>
          <w:rFonts w:cs="Times New Roman"/>
        </w:rPr>
        <w:footnoteReference w:id="26"/>
      </w:r>
      <w:r>
        <w:rPr>
          <w:rFonts w:cs="Times New Roman"/>
        </w:rPr>
        <w:t xml:space="preserve">”. </w:t>
      </w:r>
    </w:p>
    <w:p w14:paraId="4560CC02" w14:textId="77777777" w:rsidR="001E3B3B" w:rsidRDefault="001E3B3B" w:rsidP="001E3B3B">
      <w:pPr>
        <w:pStyle w:val="Bezodstpw"/>
        <w:spacing w:line="360" w:lineRule="auto"/>
        <w:rPr>
          <w:rFonts w:cs="Times New Roman"/>
        </w:rPr>
      </w:pPr>
      <w:r>
        <w:rPr>
          <w:rFonts w:cs="Times New Roman"/>
        </w:rPr>
        <w:t>Uznano również, że w</w:t>
      </w:r>
      <w:r w:rsidRPr="00080925">
        <w:rPr>
          <w:rFonts w:cs="Times New Roman"/>
        </w:rPr>
        <w:t>prowadz</w:t>
      </w:r>
      <w:r>
        <w:rPr>
          <w:rFonts w:cs="Times New Roman"/>
        </w:rPr>
        <w:t>a</w:t>
      </w:r>
      <w:r w:rsidRPr="00080925">
        <w:rPr>
          <w:rFonts w:cs="Times New Roman"/>
        </w:rPr>
        <w:t>n</w:t>
      </w:r>
      <w:r>
        <w:rPr>
          <w:rFonts w:cs="Times New Roman"/>
        </w:rPr>
        <w:t xml:space="preserve">ie do prawa kontynentalnego w tym polskiego prawa skarbowego  </w:t>
      </w:r>
      <w:r w:rsidRPr="005401D5">
        <w:rPr>
          <w:rFonts w:cs="Times New Roman"/>
        </w:rPr>
        <w:t>swoistych klauzul  antyabuzywnych wzorowanych na klauzulach wykształconych na gruncie</w:t>
      </w:r>
      <w:r>
        <w:rPr>
          <w:rFonts w:cs="Times New Roman"/>
        </w:rPr>
        <w:t xml:space="preserve"> kojarzonym z </w:t>
      </w:r>
      <w:r w:rsidRPr="005401D5">
        <w:rPr>
          <w:rFonts w:cs="Times New Roman"/>
        </w:rPr>
        <w:t xml:space="preserve"> </w:t>
      </w:r>
      <w:r w:rsidRPr="00DC6A0A">
        <w:rPr>
          <w:rFonts w:cs="Times New Roman"/>
          <w:i/>
          <w:iCs/>
        </w:rPr>
        <w:t>common law</w:t>
      </w:r>
      <w:r w:rsidRPr="005401D5">
        <w:rPr>
          <w:rFonts w:cs="Times New Roman"/>
        </w:rPr>
        <w:t xml:space="preserve">, </w:t>
      </w:r>
      <w:r>
        <w:rPr>
          <w:rFonts w:cs="Times New Roman"/>
        </w:rPr>
        <w:t xml:space="preserve">opartych na zasadzie </w:t>
      </w:r>
      <w:r>
        <w:rPr>
          <w:rFonts w:cs="Times New Roman"/>
          <w:i/>
          <w:iCs/>
        </w:rPr>
        <w:t xml:space="preserve">equity, </w:t>
      </w:r>
      <w:r w:rsidRPr="005401D5">
        <w:rPr>
          <w:rFonts w:cs="Times New Roman"/>
        </w:rPr>
        <w:t xml:space="preserve">ale nie </w:t>
      </w:r>
      <w:r>
        <w:rPr>
          <w:rFonts w:cs="Times New Roman"/>
        </w:rPr>
        <w:t xml:space="preserve">zawsze </w:t>
      </w:r>
      <w:r w:rsidRPr="005401D5">
        <w:rPr>
          <w:rFonts w:cs="Times New Roman"/>
        </w:rPr>
        <w:t>wspieranych w  systemie prawa kontynentalnego ugruntowanymi doktrynami orzeczniczymi,</w:t>
      </w:r>
      <w:r>
        <w:rPr>
          <w:rFonts w:cs="Times New Roman"/>
        </w:rPr>
        <w:t xml:space="preserve"> tak istotnymi </w:t>
      </w:r>
      <w:r w:rsidRPr="005401D5">
        <w:rPr>
          <w:rFonts w:cs="Times New Roman"/>
        </w:rPr>
        <w:t xml:space="preserve"> na gruncie </w:t>
      </w:r>
      <w:r w:rsidRPr="00A50B67">
        <w:rPr>
          <w:rFonts w:cs="Times New Roman"/>
          <w:i/>
          <w:iCs/>
        </w:rPr>
        <w:t>common law</w:t>
      </w:r>
      <w:r w:rsidRPr="005401D5">
        <w:rPr>
          <w:rFonts w:cs="Times New Roman"/>
        </w:rPr>
        <w:t xml:space="preserve">, </w:t>
      </w:r>
      <w:r>
        <w:rPr>
          <w:rFonts w:cs="Times New Roman"/>
        </w:rPr>
        <w:t xml:space="preserve">a </w:t>
      </w:r>
      <w:r w:rsidRPr="005401D5">
        <w:rPr>
          <w:rFonts w:cs="Times New Roman"/>
        </w:rPr>
        <w:t>mającymi na celu zapobieganie tzw. agresywnemu unikaniu opodatkowania,</w:t>
      </w:r>
      <w:r>
        <w:rPr>
          <w:rFonts w:cs="Times New Roman"/>
        </w:rPr>
        <w:t xml:space="preserve"> jak również stosowanie </w:t>
      </w:r>
      <w:r w:rsidRPr="005401D5">
        <w:rPr>
          <w:rFonts w:cs="Times New Roman"/>
        </w:rPr>
        <w:t>wykładni gospodarczej</w:t>
      </w:r>
      <w:r>
        <w:rPr>
          <w:rFonts w:cs="Times New Roman"/>
        </w:rPr>
        <w:t xml:space="preserve">, </w:t>
      </w:r>
      <w:r w:rsidRPr="005401D5">
        <w:rPr>
          <w:rFonts w:cs="Times New Roman"/>
        </w:rPr>
        <w:t xml:space="preserve">w szczególności poprzez odniesienie się do ich istoty ekonomicznej </w:t>
      </w:r>
      <w:r>
        <w:rPr>
          <w:rFonts w:cs="Times New Roman"/>
        </w:rPr>
        <w:t xml:space="preserve">, </w:t>
      </w:r>
      <w:r w:rsidRPr="005401D5">
        <w:rPr>
          <w:rFonts w:cs="Times New Roman"/>
        </w:rPr>
        <w:t xml:space="preserve">rodzą </w:t>
      </w:r>
      <w:r w:rsidRPr="006376B1">
        <w:rPr>
          <w:rFonts w:cs="Times New Roman"/>
          <w:i/>
          <w:iCs/>
        </w:rPr>
        <w:t>ex lege</w:t>
      </w:r>
      <w:r w:rsidRPr="005401D5">
        <w:rPr>
          <w:rFonts w:cs="Times New Roman"/>
        </w:rPr>
        <w:t xml:space="preserve"> skutki</w:t>
      </w:r>
      <w:r>
        <w:rPr>
          <w:rFonts w:cs="Times New Roman"/>
        </w:rPr>
        <w:t xml:space="preserve">, na gruncie prawa karnego skarbowego, które nie koniecznie zasługują na akceptację, a jak ustalono odchodzenie od zasady </w:t>
      </w:r>
      <w:r w:rsidRPr="009B7E23">
        <w:rPr>
          <w:rFonts w:cs="Times New Roman"/>
          <w:i/>
          <w:iCs/>
        </w:rPr>
        <w:t>societas delinquere non potest</w:t>
      </w:r>
      <w:r>
        <w:rPr>
          <w:rFonts w:cs="Times New Roman"/>
        </w:rPr>
        <w:t xml:space="preserve">, w innych jurysdykcjach okazuje się nieskuteczne. </w:t>
      </w:r>
    </w:p>
    <w:p w14:paraId="2D7F371A" w14:textId="77777777" w:rsidR="001E3B3B" w:rsidRDefault="001E3B3B" w:rsidP="001E3B3B">
      <w:pPr>
        <w:pStyle w:val="Bezodstpw"/>
        <w:spacing w:line="360" w:lineRule="auto"/>
        <w:rPr>
          <w:rFonts w:cs="Times New Roman"/>
        </w:rPr>
      </w:pPr>
      <w:r>
        <w:rPr>
          <w:rFonts w:cs="Times New Roman"/>
        </w:rPr>
        <w:t xml:space="preserve">Ewentualne stosowanie modelu odpowiedzialności administracyjnej, zamiast odpowiedzialności skarbowej, w świetle polskiej </w:t>
      </w:r>
      <w:r w:rsidRPr="00E116B9">
        <w:rPr>
          <w:rFonts w:cs="Times New Roman"/>
        </w:rPr>
        <w:t>instytucj</w:t>
      </w:r>
      <w:r>
        <w:rPr>
          <w:rFonts w:cs="Times New Roman"/>
        </w:rPr>
        <w:t xml:space="preserve">i </w:t>
      </w:r>
      <w:r w:rsidRPr="00E116B9">
        <w:rPr>
          <w:rFonts w:cs="Times New Roman"/>
        </w:rPr>
        <w:t xml:space="preserve">dodatkowego zobowiązania podatkowego, </w:t>
      </w:r>
      <w:r>
        <w:rPr>
          <w:rFonts w:cs="Times New Roman"/>
        </w:rPr>
        <w:t xml:space="preserve">będącego sankcja administracyjną, </w:t>
      </w:r>
      <w:r w:rsidRPr="00E116B9">
        <w:rPr>
          <w:rFonts w:cs="Times New Roman"/>
        </w:rPr>
        <w:t>które to zobowiązanie sięgać może 100% w podatku od towarów i usług i 40% w podatkach dochodowych, wspominając jedynie o 75% stawce podatku w wypadku przychodów nieujawnionych</w:t>
      </w:r>
      <w:r w:rsidRPr="00E116B9">
        <w:rPr>
          <w:rStyle w:val="Odwoanieprzypisudolnego"/>
          <w:rFonts w:cs="Times New Roman"/>
        </w:rPr>
        <w:footnoteReference w:id="27"/>
      </w:r>
      <w:r w:rsidRPr="00E116B9">
        <w:rPr>
          <w:rFonts w:cs="Times New Roman"/>
        </w:rPr>
        <w:t xml:space="preserve">. </w:t>
      </w:r>
      <w:r>
        <w:rPr>
          <w:rFonts w:cs="Times New Roman"/>
        </w:rPr>
        <w:t xml:space="preserve">objęte jest w pełni uzasadnionym zastrzeżeniem </w:t>
      </w:r>
      <w:r w:rsidRPr="001B6297">
        <w:rPr>
          <w:rFonts w:cs="Times New Roman"/>
        </w:rPr>
        <w:t>L. Gardocki</w:t>
      </w:r>
      <w:r>
        <w:rPr>
          <w:rFonts w:cs="Times New Roman"/>
        </w:rPr>
        <w:t>ego</w:t>
      </w:r>
      <w:r w:rsidRPr="001B6297">
        <w:rPr>
          <w:rFonts w:cs="Times New Roman"/>
        </w:rPr>
        <w:t xml:space="preserve">, </w:t>
      </w:r>
      <w:r>
        <w:rPr>
          <w:rFonts w:cs="Times New Roman"/>
        </w:rPr>
        <w:t xml:space="preserve">że </w:t>
      </w:r>
      <w:r w:rsidRPr="001B6297">
        <w:rPr>
          <w:rFonts w:cs="Times New Roman"/>
        </w:rPr>
        <w:t>„posługiwanie się innymi niż represja karna środkami kontroli społecznej, wcale nie musi być dla jednostki mniej uciążliwe […] dotyczy to odpowiedzialności karnoadministracyjnej, która generalnie uznawana za łagodniejszą może w pewnej kategorii spraw okazać się w praktyce surowsza”</w:t>
      </w:r>
      <w:r>
        <w:rPr>
          <w:rFonts w:cs="Times New Roman"/>
        </w:rPr>
        <w:t>.</w:t>
      </w:r>
    </w:p>
    <w:p w14:paraId="00F99A86" w14:textId="0471BA23" w:rsidR="00B75BA4" w:rsidRPr="001E3B3B" w:rsidRDefault="001E3B3B" w:rsidP="001E3B3B">
      <w:r>
        <w:rPr>
          <w:rFonts w:cs="Times New Roman"/>
        </w:rPr>
        <w:t xml:space="preserve">Znamiona czynu w art. 55 k.k.s. obejmują </w:t>
      </w:r>
      <w:r w:rsidRPr="00E108A5">
        <w:rPr>
          <w:rFonts w:cs="Times New Roman"/>
          <w:i/>
          <w:iCs/>
        </w:rPr>
        <w:t>modus operandi</w:t>
      </w:r>
      <w:r w:rsidRPr="00E108A5">
        <w:rPr>
          <w:rFonts w:cs="Times New Roman"/>
        </w:rPr>
        <w:t xml:space="preserve">, które </w:t>
      </w:r>
      <w:r>
        <w:rPr>
          <w:rFonts w:cs="Times New Roman"/>
        </w:rPr>
        <w:t xml:space="preserve">moim zdaniem </w:t>
      </w:r>
      <w:r w:rsidRPr="00E108A5">
        <w:rPr>
          <w:rFonts w:cs="Times New Roman"/>
        </w:rPr>
        <w:t xml:space="preserve">po </w:t>
      </w:r>
      <w:r>
        <w:rPr>
          <w:rFonts w:cs="Times New Roman"/>
        </w:rPr>
        <w:t xml:space="preserve">dniu </w:t>
      </w:r>
      <w:r w:rsidRPr="00E108A5">
        <w:rPr>
          <w:rFonts w:cs="Times New Roman"/>
        </w:rPr>
        <w:t xml:space="preserve">4 czerwca 1989 </w:t>
      </w:r>
      <w:r>
        <w:rPr>
          <w:rFonts w:cs="Times New Roman"/>
        </w:rPr>
        <w:t xml:space="preserve">(data umowna) </w:t>
      </w:r>
      <w:r w:rsidRPr="00E108A5">
        <w:rPr>
          <w:rFonts w:cs="Times New Roman"/>
        </w:rPr>
        <w:t>nie powinno, a od 1 maja 2004 nie mogło być penalizowane. Jeśli bowiem prawo karne „nie powinno wkraczać, a więc kryminalizacja nie powinna mieć miejsca, jeśli wystarczą środki przewidziane w innych dziedzinach prawa”</w:t>
      </w:r>
      <w:r>
        <w:rPr>
          <w:rStyle w:val="Odwoanieprzypisudolnego"/>
          <w:rFonts w:cs="Times New Roman"/>
        </w:rPr>
        <w:footnoteReference w:id="28"/>
      </w:r>
      <w:r w:rsidRPr="00E108A5">
        <w:rPr>
          <w:rFonts w:cs="Times New Roman"/>
        </w:rPr>
        <w:t xml:space="preserve"> </w:t>
      </w:r>
      <w:r>
        <w:rPr>
          <w:rFonts w:cs="Times New Roman"/>
        </w:rPr>
        <w:t xml:space="preserve">a jak zauważa I. </w:t>
      </w:r>
      <w:r w:rsidRPr="00E108A5">
        <w:rPr>
          <w:rFonts w:cs="Times New Roman"/>
        </w:rPr>
        <w:t>Sepioło-Jankowsk</w:t>
      </w:r>
      <w:r>
        <w:rPr>
          <w:rFonts w:cs="Times New Roman"/>
        </w:rPr>
        <w:t xml:space="preserve">a </w:t>
      </w:r>
      <w:r w:rsidRPr="00E108A5">
        <w:rPr>
          <w:rFonts w:cs="Times New Roman"/>
        </w:rPr>
        <w:t xml:space="preserve"> „pożądane jest usunięcie z prawa karnego skarbowego nadmiernej, nieuzasadnionej racjonalnie </w:t>
      </w:r>
      <w:proofErr w:type="spellStart"/>
      <w:r w:rsidRPr="00E108A5">
        <w:rPr>
          <w:rFonts w:cs="Times New Roman"/>
        </w:rPr>
        <w:t>punitywności</w:t>
      </w:r>
      <w:proofErr w:type="spellEnd"/>
      <w:r w:rsidRPr="00E108A5">
        <w:rPr>
          <w:rFonts w:cs="Times New Roman"/>
        </w:rPr>
        <w:t>, która wcale nie przyczynia się do większego bezpieczeństwa dóbr prawnie chronionych, lecz jest wyłącznie wypełnieniem luki występującej wśród norm prawa podatkowego</w:t>
      </w:r>
      <w:r>
        <w:rPr>
          <w:rFonts w:cs="Times New Roman"/>
        </w:rPr>
        <w:t>”, to przyjąć należy, że pr</w:t>
      </w:r>
      <w:r w:rsidRPr="00E116B9">
        <w:rPr>
          <w:rFonts w:cs="Times New Roman"/>
        </w:rPr>
        <w:t xml:space="preserve">zykładem </w:t>
      </w:r>
      <w:r>
        <w:rPr>
          <w:rFonts w:cs="Times New Roman"/>
        </w:rPr>
        <w:t xml:space="preserve">przepisu  wypełniającego lukę niedoskonałego systemu podatkowego,  jest obecnie przepis art. 55 k.k.s., a wcześniej przepisy u.k.s. z 1960 r. i z 1971 r. </w:t>
      </w:r>
      <w:bookmarkEnd w:id="1"/>
      <w:bookmarkEnd w:id="4"/>
      <w:r>
        <w:rPr>
          <w:rFonts w:cs="Times New Roman"/>
        </w:rPr>
        <w:t>.</w:t>
      </w:r>
    </w:p>
    <w:sectPr w:rsidR="00B75BA4" w:rsidRPr="001E3B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DE92" w14:textId="77777777" w:rsidR="00A403B7" w:rsidRDefault="00A403B7" w:rsidP="001E3B3B">
      <w:pPr>
        <w:spacing w:line="240" w:lineRule="auto"/>
      </w:pPr>
      <w:r>
        <w:separator/>
      </w:r>
    </w:p>
  </w:endnote>
  <w:endnote w:type="continuationSeparator" w:id="0">
    <w:p w14:paraId="3F9200B0" w14:textId="77777777" w:rsidR="00A403B7" w:rsidRDefault="00A403B7" w:rsidP="001E3B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FA0FA" w14:textId="77777777" w:rsidR="00A403B7" w:rsidRDefault="00A403B7" w:rsidP="001E3B3B">
      <w:pPr>
        <w:spacing w:line="240" w:lineRule="auto"/>
      </w:pPr>
      <w:r>
        <w:separator/>
      </w:r>
    </w:p>
  </w:footnote>
  <w:footnote w:type="continuationSeparator" w:id="0">
    <w:p w14:paraId="5748E496" w14:textId="77777777" w:rsidR="00A403B7" w:rsidRDefault="00A403B7" w:rsidP="001E3B3B">
      <w:pPr>
        <w:spacing w:line="240" w:lineRule="auto"/>
      </w:pPr>
      <w:r>
        <w:continuationSeparator/>
      </w:r>
    </w:p>
  </w:footnote>
  <w:footnote w:id="1">
    <w:p w14:paraId="19FE9474" w14:textId="77777777" w:rsidR="001E3B3B" w:rsidRPr="00F930B5" w:rsidRDefault="001E3B3B" w:rsidP="001E3B3B">
      <w:pPr>
        <w:pStyle w:val="Tekstprzypisudolnego"/>
        <w:ind w:left="284" w:hanging="284"/>
        <w:rPr>
          <w:lang w:val="de-DE"/>
        </w:rPr>
      </w:pPr>
      <w:r w:rsidRPr="00F930B5">
        <w:rPr>
          <w:rStyle w:val="Odwoanieprzypisudolnego"/>
        </w:rPr>
        <w:footnoteRef/>
      </w:r>
      <w:r w:rsidRPr="00F930B5">
        <w:rPr>
          <w:lang w:val="de-DE"/>
        </w:rPr>
        <w:t xml:space="preserve"> A. </w:t>
      </w:r>
      <w:proofErr w:type="spellStart"/>
      <w:r w:rsidRPr="00F930B5">
        <w:rPr>
          <w:lang w:val="de-DE"/>
        </w:rPr>
        <w:t>Wagnier</w:t>
      </w:r>
      <w:proofErr w:type="spellEnd"/>
      <w:r w:rsidRPr="00F930B5">
        <w:rPr>
          <w:lang w:val="de-DE"/>
        </w:rPr>
        <w:t xml:space="preserve">, </w:t>
      </w:r>
      <w:r w:rsidRPr="00F930B5">
        <w:rPr>
          <w:i/>
          <w:iCs/>
          <w:lang w:val="de-DE"/>
        </w:rPr>
        <w:t>Finanzwissenschaft</w:t>
      </w:r>
      <w:r w:rsidRPr="00F930B5">
        <w:rPr>
          <w:lang w:val="de-DE"/>
        </w:rPr>
        <w:t xml:space="preserve">, II Th, II </w:t>
      </w:r>
      <w:proofErr w:type="spellStart"/>
      <w:r w:rsidRPr="00F930B5">
        <w:rPr>
          <w:lang w:val="de-DE"/>
        </w:rPr>
        <w:t>Aufl</w:t>
      </w:r>
      <w:proofErr w:type="spellEnd"/>
      <w:r w:rsidRPr="00F930B5">
        <w:rPr>
          <w:lang w:val="de-DE"/>
        </w:rPr>
        <w:t xml:space="preserve">, 1890, s. 207. </w:t>
      </w:r>
    </w:p>
  </w:footnote>
  <w:footnote w:id="2">
    <w:p w14:paraId="5691E168" w14:textId="77777777" w:rsidR="001E3B3B" w:rsidRPr="00F930B5" w:rsidRDefault="001E3B3B" w:rsidP="001E3B3B">
      <w:pPr>
        <w:pStyle w:val="Tekstprzypisudolnego"/>
        <w:ind w:left="284" w:hanging="284"/>
      </w:pPr>
      <w:r w:rsidRPr="00F930B5">
        <w:rPr>
          <w:rStyle w:val="Odwoanieprzypisudolnego"/>
        </w:rPr>
        <w:footnoteRef/>
      </w:r>
      <w:r w:rsidRPr="00F930B5">
        <w:t xml:space="preserve"> W. Wolter, </w:t>
      </w:r>
      <w:r w:rsidRPr="00F930B5">
        <w:rPr>
          <w:i/>
          <w:iCs/>
        </w:rPr>
        <w:t xml:space="preserve">Granice i zakres prawa karania, </w:t>
      </w:r>
      <w:r w:rsidRPr="00F930B5">
        <w:t xml:space="preserve">PiP 2/1957, s.242 </w:t>
      </w:r>
    </w:p>
  </w:footnote>
  <w:footnote w:id="3">
    <w:p w14:paraId="3581469F" w14:textId="77777777" w:rsidR="001E3B3B" w:rsidRPr="00F930B5" w:rsidRDefault="001E3B3B" w:rsidP="001E3B3B">
      <w:pPr>
        <w:pStyle w:val="Tekstprzypisudolnego"/>
        <w:ind w:left="284" w:hanging="284"/>
        <w:rPr>
          <w:sz w:val="18"/>
        </w:rPr>
      </w:pPr>
      <w:r w:rsidRPr="00F930B5">
        <w:rPr>
          <w:rStyle w:val="Odwoanieprzypisudolnego"/>
        </w:rPr>
        <w:footnoteRef/>
      </w:r>
      <w:r w:rsidRPr="00F930B5">
        <w:t xml:space="preserve"> </w:t>
      </w:r>
      <w:bookmarkStart w:id="2" w:name="_Hlk36289561"/>
      <w:r w:rsidRPr="00F930B5">
        <w:t xml:space="preserve">L. Gardocki, </w:t>
      </w:r>
      <w:r w:rsidRPr="00F930B5">
        <w:rPr>
          <w:i/>
        </w:rPr>
        <w:t>Zagadnienia teorii kryminalizacji</w:t>
      </w:r>
      <w:r w:rsidRPr="00F930B5">
        <w:t>, Warszawa 1990, s. 13 – 15,</w:t>
      </w:r>
    </w:p>
    <w:bookmarkEnd w:id="2"/>
  </w:footnote>
  <w:footnote w:id="4">
    <w:p w14:paraId="3B7F148F" w14:textId="77777777" w:rsidR="001E3B3B" w:rsidRPr="00F930B5" w:rsidRDefault="001E3B3B" w:rsidP="001E3B3B">
      <w:pPr>
        <w:pStyle w:val="Tekstprzypisudolnego"/>
        <w:ind w:left="284" w:hanging="284"/>
        <w:jc w:val="left"/>
        <w:rPr>
          <w:lang w:val="en-GB"/>
        </w:rPr>
      </w:pPr>
      <w:r w:rsidRPr="00F930B5">
        <w:rPr>
          <w:rStyle w:val="Odwoanieprzypisudolnego"/>
        </w:rPr>
        <w:footnoteRef/>
      </w:r>
      <w:r w:rsidRPr="00F930B5">
        <w:rPr>
          <w:lang w:val="en-GB"/>
        </w:rPr>
        <w:t xml:space="preserve"> A. Aarnio, </w:t>
      </w:r>
      <w:r w:rsidRPr="00F930B5">
        <w:rPr>
          <w:i/>
          <w:lang w:val="en-GB"/>
        </w:rPr>
        <w:t>The Rational as Reasonable, Treatise on Legal Justification</w:t>
      </w:r>
      <w:r w:rsidRPr="00F930B5">
        <w:rPr>
          <w:lang w:val="en-GB"/>
        </w:rPr>
        <w:t xml:space="preserve">, Dordrecht-Boston-Lancaster, 1987, </w:t>
      </w:r>
      <w:r w:rsidRPr="00F930B5">
        <w:rPr>
          <w:lang w:val="en-GB"/>
        </w:rPr>
        <w:br/>
        <w:t>s. 9-10, 37-39,</w:t>
      </w:r>
    </w:p>
  </w:footnote>
  <w:footnote w:id="5">
    <w:p w14:paraId="154480C7" w14:textId="77777777" w:rsidR="001E3B3B" w:rsidRPr="00F930B5" w:rsidRDefault="001E3B3B" w:rsidP="001E3B3B">
      <w:pPr>
        <w:pStyle w:val="Tekstprzypisudolnego"/>
        <w:ind w:left="284" w:hanging="284"/>
        <w:jc w:val="left"/>
      </w:pPr>
      <w:r w:rsidRPr="00F930B5">
        <w:rPr>
          <w:rStyle w:val="Odwoanieprzypisudolnego"/>
        </w:rPr>
        <w:footnoteRef/>
      </w:r>
      <w:r w:rsidRPr="00F930B5">
        <w:t xml:space="preserve"> D. Gajewski, </w:t>
      </w:r>
      <w:r w:rsidRPr="00F930B5">
        <w:rPr>
          <w:i/>
          <w:iCs/>
        </w:rPr>
        <w:t>Podstawowe założenia unijnych reform dotyczących opodatkowania międzynarodowych podmiotów powiązanych kapitałowo i ich wpływ na materialne i proceduralne polskie prawo podatkowe</w:t>
      </w:r>
      <w:r w:rsidRPr="00F930B5">
        <w:t>. w: ZNSA, 2013, nr 5. s. 66-82.</w:t>
      </w:r>
    </w:p>
  </w:footnote>
  <w:footnote w:id="6">
    <w:p w14:paraId="000D0912" w14:textId="77777777" w:rsidR="001E3B3B"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 xml:space="preserve">ang. </w:t>
      </w:r>
      <w:proofErr w:type="spellStart"/>
      <w:r w:rsidRPr="00F930B5">
        <w:rPr>
          <w:rFonts w:cs="Times New Roman"/>
          <w:i/>
          <w:iCs/>
        </w:rPr>
        <w:t>shell</w:t>
      </w:r>
      <w:proofErr w:type="spellEnd"/>
      <w:r w:rsidRPr="00F930B5">
        <w:rPr>
          <w:rFonts w:cs="Times New Roman"/>
          <w:i/>
          <w:iCs/>
        </w:rPr>
        <w:t xml:space="preserve"> </w:t>
      </w:r>
      <w:proofErr w:type="spellStart"/>
      <w:r w:rsidRPr="00F930B5">
        <w:rPr>
          <w:rFonts w:cs="Times New Roman"/>
          <w:i/>
          <w:iCs/>
        </w:rPr>
        <w:t>company</w:t>
      </w:r>
      <w:proofErr w:type="spellEnd"/>
      <w:r w:rsidRPr="00F930B5">
        <w:rPr>
          <w:rFonts w:cs="Times New Roman"/>
        </w:rPr>
        <w:t xml:space="preserve">, niem. </w:t>
      </w:r>
      <w:proofErr w:type="spellStart"/>
      <w:r w:rsidRPr="00F930B5">
        <w:rPr>
          <w:rFonts w:cs="Times New Roman"/>
          <w:i/>
          <w:iCs/>
        </w:rPr>
        <w:t>Mantelgesellschaft</w:t>
      </w:r>
      <w:proofErr w:type="spellEnd"/>
      <w:r w:rsidRPr="00F930B5">
        <w:rPr>
          <w:rFonts w:cs="Times New Roman"/>
          <w:i/>
          <w:iCs/>
        </w:rPr>
        <w:t xml:space="preserve">, </w:t>
      </w:r>
      <w:proofErr w:type="spellStart"/>
      <w:r w:rsidRPr="00F930B5">
        <w:rPr>
          <w:rFonts w:cs="Times New Roman"/>
          <w:i/>
          <w:iCs/>
        </w:rPr>
        <w:t>Firmenmantel</w:t>
      </w:r>
      <w:proofErr w:type="spellEnd"/>
      <w:r w:rsidRPr="00F930B5">
        <w:rPr>
          <w:rFonts w:cs="Times New Roman"/>
        </w:rPr>
        <w:t xml:space="preserve">, względnie </w:t>
      </w:r>
      <w:proofErr w:type="spellStart"/>
      <w:r w:rsidRPr="00F930B5">
        <w:rPr>
          <w:rFonts w:cs="Times New Roman"/>
          <w:i/>
          <w:iCs/>
        </w:rPr>
        <w:t>Strohfirma</w:t>
      </w:r>
      <w:proofErr w:type="spellEnd"/>
      <w:r w:rsidRPr="00F930B5">
        <w:rPr>
          <w:rFonts w:cs="Times New Roman"/>
        </w:rPr>
        <w:t xml:space="preserve">, franc. </w:t>
      </w:r>
      <w:proofErr w:type="spellStart"/>
      <w:r w:rsidRPr="00F930B5">
        <w:rPr>
          <w:rFonts w:cs="Times New Roman"/>
          <w:i/>
          <w:iCs/>
        </w:rPr>
        <w:t>société</w:t>
      </w:r>
      <w:proofErr w:type="spellEnd"/>
      <w:r w:rsidRPr="00F930B5">
        <w:rPr>
          <w:rFonts w:cs="Times New Roman"/>
          <w:i/>
          <w:iCs/>
        </w:rPr>
        <w:t xml:space="preserve"> </w:t>
      </w:r>
      <w:proofErr w:type="spellStart"/>
      <w:r w:rsidRPr="00F930B5">
        <w:rPr>
          <w:rFonts w:cs="Times New Roman"/>
          <w:i/>
          <w:iCs/>
        </w:rPr>
        <w:t>écran</w:t>
      </w:r>
      <w:proofErr w:type="spellEnd"/>
      <w:r w:rsidRPr="00F930B5">
        <w:rPr>
          <w:rFonts w:cs="Times New Roman"/>
        </w:rPr>
        <w:t xml:space="preserve">, </w:t>
      </w:r>
    </w:p>
    <w:p w14:paraId="0F21A28D" w14:textId="77777777" w:rsidR="001E3B3B" w:rsidRPr="00F930B5" w:rsidRDefault="001E3B3B" w:rsidP="001E3B3B">
      <w:pPr>
        <w:pStyle w:val="Tekstprzypisudolnego"/>
        <w:ind w:left="284" w:hanging="284"/>
        <w:rPr>
          <w:rFonts w:cs="Times New Roman"/>
        </w:rPr>
      </w:pPr>
      <w:r>
        <w:rPr>
          <w:rFonts w:cs="Times New Roman"/>
        </w:rPr>
        <w:t xml:space="preserve">    </w:t>
      </w:r>
      <w:r w:rsidRPr="00F930B5">
        <w:rPr>
          <w:rFonts w:cs="Times New Roman"/>
        </w:rPr>
        <w:t xml:space="preserve">hiszp. </w:t>
      </w:r>
      <w:proofErr w:type="spellStart"/>
      <w:r w:rsidRPr="00F930B5">
        <w:rPr>
          <w:rFonts w:cs="Times New Roman"/>
          <w:i/>
          <w:iCs/>
        </w:rPr>
        <w:t>Sociedad</w:t>
      </w:r>
      <w:proofErr w:type="spellEnd"/>
      <w:r w:rsidRPr="00F930B5">
        <w:rPr>
          <w:rFonts w:cs="Times New Roman"/>
          <w:i/>
          <w:iCs/>
        </w:rPr>
        <w:t xml:space="preserve"> </w:t>
      </w:r>
      <w:proofErr w:type="spellStart"/>
      <w:r w:rsidRPr="00F930B5">
        <w:rPr>
          <w:rFonts w:cs="Times New Roman"/>
          <w:i/>
          <w:iCs/>
        </w:rPr>
        <w:t>instrumental</w:t>
      </w:r>
      <w:proofErr w:type="spellEnd"/>
      <w:r w:rsidRPr="00F930B5">
        <w:rPr>
          <w:rFonts w:cs="Times New Roman"/>
        </w:rPr>
        <w:t xml:space="preserve">, ros. </w:t>
      </w:r>
      <w:proofErr w:type="spellStart"/>
      <w:r w:rsidRPr="00F930B5">
        <w:rPr>
          <w:rFonts w:cs="Times New Roman"/>
          <w:i/>
          <w:iCs/>
        </w:rPr>
        <w:t>оболочечная</w:t>
      </w:r>
      <w:proofErr w:type="spellEnd"/>
      <w:r w:rsidRPr="00F930B5">
        <w:rPr>
          <w:rFonts w:cs="Times New Roman"/>
          <w:i/>
          <w:iCs/>
        </w:rPr>
        <w:t xml:space="preserve"> </w:t>
      </w:r>
      <w:proofErr w:type="spellStart"/>
      <w:r w:rsidRPr="00F930B5">
        <w:rPr>
          <w:rFonts w:cs="Times New Roman"/>
          <w:i/>
          <w:iCs/>
        </w:rPr>
        <w:t>компания</w:t>
      </w:r>
      <w:proofErr w:type="spellEnd"/>
      <w:r w:rsidRPr="00F930B5">
        <w:rPr>
          <w:rFonts w:cs="Times New Roman"/>
        </w:rPr>
        <w:t xml:space="preserve">, wł. </w:t>
      </w:r>
      <w:proofErr w:type="spellStart"/>
      <w:r w:rsidRPr="00F930B5">
        <w:rPr>
          <w:rFonts w:cs="Times New Roman"/>
          <w:i/>
          <w:iCs/>
        </w:rPr>
        <w:t>società</w:t>
      </w:r>
      <w:proofErr w:type="spellEnd"/>
      <w:r w:rsidRPr="00F930B5">
        <w:rPr>
          <w:rFonts w:cs="Times New Roman"/>
          <w:i/>
          <w:iCs/>
        </w:rPr>
        <w:t xml:space="preserve"> di </w:t>
      </w:r>
      <w:proofErr w:type="spellStart"/>
      <w:r w:rsidRPr="00F930B5">
        <w:rPr>
          <w:rFonts w:cs="Times New Roman"/>
          <w:i/>
          <w:iCs/>
        </w:rPr>
        <w:t>comodo</w:t>
      </w:r>
      <w:proofErr w:type="spellEnd"/>
      <w:r w:rsidRPr="00F930B5">
        <w:rPr>
          <w:rFonts w:cs="Times New Roman"/>
        </w:rPr>
        <w:t xml:space="preserve">, ukr. </w:t>
      </w:r>
      <w:proofErr w:type="spellStart"/>
      <w:r w:rsidRPr="00F930B5">
        <w:rPr>
          <w:rFonts w:cs="Times New Roman"/>
          <w:i/>
          <w:iCs/>
        </w:rPr>
        <w:t>підставна</w:t>
      </w:r>
      <w:proofErr w:type="spellEnd"/>
      <w:r w:rsidRPr="00F930B5">
        <w:rPr>
          <w:rFonts w:cs="Times New Roman"/>
          <w:i/>
          <w:iCs/>
        </w:rPr>
        <w:t xml:space="preserve"> </w:t>
      </w:r>
      <w:proofErr w:type="spellStart"/>
      <w:r w:rsidRPr="00F930B5">
        <w:rPr>
          <w:rFonts w:cs="Times New Roman"/>
          <w:i/>
          <w:iCs/>
        </w:rPr>
        <w:t>компанія</w:t>
      </w:r>
      <w:proofErr w:type="spellEnd"/>
    </w:p>
  </w:footnote>
  <w:footnote w:id="7">
    <w:p w14:paraId="1865B8BE"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L. Gardocki, </w:t>
      </w:r>
      <w:r w:rsidRPr="00F930B5">
        <w:rPr>
          <w:rFonts w:cs="Times New Roman"/>
          <w:i/>
          <w:iCs/>
        </w:rPr>
        <w:t>Zagadnienia teorii kryminalizacji</w:t>
      </w:r>
      <w:r w:rsidRPr="00F930B5">
        <w:rPr>
          <w:rFonts w:cs="Times New Roman"/>
        </w:rPr>
        <w:t>, Warszawa 1990, s. 7.</w:t>
      </w:r>
    </w:p>
  </w:footnote>
  <w:footnote w:id="8">
    <w:p w14:paraId="116D1707"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P. Kardas, </w:t>
      </w:r>
      <w:r w:rsidRPr="00F930B5">
        <w:rPr>
          <w:rFonts w:cs="Times New Roman"/>
          <w:i/>
          <w:iCs/>
        </w:rPr>
        <w:t>Uwagi szczegółowe do art. 9 § 3 k.k.s.</w:t>
      </w:r>
      <w:r w:rsidRPr="00F930B5">
        <w:rPr>
          <w:rFonts w:cs="Times New Roman"/>
        </w:rPr>
        <w:t xml:space="preserve"> (w:) </w:t>
      </w:r>
      <w:r w:rsidRPr="00F930B5">
        <w:rPr>
          <w:rFonts w:cs="Times New Roman"/>
          <w:i/>
          <w:iCs/>
        </w:rPr>
        <w:t xml:space="preserve">Kodeks karny skarbowy. Komentarz Lex, </w:t>
      </w:r>
      <w:r w:rsidRPr="00F930B5">
        <w:rPr>
          <w:rFonts w:cs="Times New Roman"/>
        </w:rPr>
        <w:t xml:space="preserve">Warszawa, 2012, s. 237 </w:t>
      </w:r>
    </w:p>
  </w:footnote>
  <w:footnote w:id="9">
    <w:p w14:paraId="21192C33" w14:textId="77777777" w:rsidR="001E3B3B" w:rsidRPr="00F930B5" w:rsidRDefault="001E3B3B" w:rsidP="001E3B3B">
      <w:pPr>
        <w:pStyle w:val="Tekstprzypisudolnego"/>
        <w:ind w:left="284" w:hanging="284"/>
      </w:pPr>
      <w:r w:rsidRPr="00F930B5">
        <w:rPr>
          <w:rStyle w:val="Odwoanieprzypisudolnego"/>
        </w:rPr>
        <w:footnoteRef/>
      </w:r>
      <w:r w:rsidRPr="00F930B5">
        <w:t xml:space="preserve"> Kwestia literatury przedmiotu omówiona jest bardziej szczegółowo na stron</w:t>
      </w:r>
      <w:r>
        <w:t xml:space="preserve">ie 49 </w:t>
      </w:r>
    </w:p>
  </w:footnote>
  <w:footnote w:id="10">
    <w:p w14:paraId="5DC15AD7" w14:textId="77777777" w:rsidR="001E3B3B" w:rsidRPr="00F930B5" w:rsidRDefault="001E3B3B" w:rsidP="001E3B3B">
      <w:pPr>
        <w:pStyle w:val="Tekstprzypisudolnego"/>
        <w:ind w:left="284" w:hanging="284"/>
        <w:jc w:val="left"/>
        <w:rPr>
          <w:rFonts w:cs="Times New Roman"/>
        </w:rPr>
      </w:pPr>
      <w:r w:rsidRPr="00F930B5">
        <w:rPr>
          <w:rStyle w:val="Odwoanieprzypisudolnego"/>
          <w:rFonts w:cs="Times New Roman"/>
        </w:rPr>
        <w:footnoteRef/>
      </w:r>
      <w:r>
        <w:rPr>
          <w:rFonts w:cs="Times New Roman"/>
        </w:rPr>
        <w:t xml:space="preserve"> </w:t>
      </w:r>
      <w:r w:rsidRPr="00F930B5">
        <w:rPr>
          <w:rFonts w:cs="Times New Roman"/>
        </w:rPr>
        <w:t xml:space="preserve">T.  Połomski, </w:t>
      </w:r>
      <w:r w:rsidRPr="00F930B5">
        <w:rPr>
          <w:rFonts w:cs="Times New Roman"/>
          <w:i/>
          <w:iCs/>
        </w:rPr>
        <w:t>Właściwości języka prawnego - rozważania definicyjne</w:t>
      </w:r>
      <w:r w:rsidRPr="00F930B5">
        <w:rPr>
          <w:rFonts w:cs="Times New Roman"/>
        </w:rPr>
        <w:t xml:space="preserve">, s. 2; zauważa, że „Rozróżniamy: a) Język prawny, w którym sformułowane są ustawy, rozporządzenia, zarządzenia, statuty itp. Jest to język prawodawcy, który formułuje akty normatywne. Nazywamy go zatem idiolektem prawodawczym; b) Język prawniczy, w którym sporządzane są orzeczenia sądowe, decyzje administracyjne. Prawnicy używają go do interpretacji norm prawnych”. T. Gizbert-Studnicki, </w:t>
      </w:r>
      <w:r w:rsidRPr="00F930B5">
        <w:rPr>
          <w:rFonts w:cs="Times New Roman"/>
          <w:i/>
          <w:iCs/>
        </w:rPr>
        <w:t>Język prawny z perspektywy socjolingwistycznej</w:t>
      </w:r>
      <w:r w:rsidRPr="00F930B5">
        <w:rPr>
          <w:rFonts w:cs="Times New Roman"/>
        </w:rPr>
        <w:t>, ZNUJ. Prace z nauk politycznych”, z. 26, Kraków 1986, s. 36, zauważa, że język prawny wykazuje tendencje do uznawania go za język etniczny lub przynależny dla danej grupy osób pozostających ze sobą w określonej interakcji językowej, gdzie posługują się danym językiem, i jest on typowy i zrozumiały dla tej grupy.</w:t>
      </w:r>
    </w:p>
  </w:footnote>
  <w:footnote w:id="11">
    <w:p w14:paraId="5DC6C837"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 xml:space="preserve">A. Malinowski, </w:t>
      </w:r>
      <w:r w:rsidRPr="00F930B5">
        <w:rPr>
          <w:rFonts w:cs="Times New Roman"/>
          <w:i/>
          <w:iCs/>
        </w:rPr>
        <w:t>Polski język prawny : wybrane zagadnienia</w:t>
      </w:r>
      <w:r w:rsidRPr="00F930B5">
        <w:rPr>
          <w:rFonts w:cs="Times New Roman"/>
        </w:rPr>
        <w:t xml:space="preserve">, Warszawa 2006, s.14 i n., zauważył, że „Język naturalny jest tworem społecznym, jednolitym i abstrakcyjnym, wspólnym wszystkim członkom danej społeczności […] Ten rodzaj języka jest zatem w pewnym sensie podstawą komunikacji w danej społeczności – swoistym kodem służącym porozumiewaniu się, tj. zaszyfrowywaniu i odszyfrowywaniu informacji przez jej nadawcę i odbiorcę. </w:t>
      </w:r>
    </w:p>
  </w:footnote>
  <w:footnote w:id="12">
    <w:p w14:paraId="2DFBC537" w14:textId="77777777" w:rsidR="001E3B3B" w:rsidRPr="00F930B5" w:rsidRDefault="001E3B3B" w:rsidP="001E3B3B">
      <w:pPr>
        <w:pStyle w:val="Tekstprzypisudolnego"/>
        <w:ind w:left="284" w:hanging="284"/>
      </w:pPr>
      <w:r w:rsidRPr="00F930B5">
        <w:rPr>
          <w:rStyle w:val="Odwoanieprzypisudolnego"/>
        </w:rPr>
        <w:footnoteRef/>
      </w:r>
      <w:r w:rsidRPr="00F930B5">
        <w:t xml:space="preserve"> </w:t>
      </w:r>
      <w:r>
        <w:t xml:space="preserve"> </w:t>
      </w:r>
      <w:r w:rsidRPr="00F930B5">
        <w:t xml:space="preserve">A. </w:t>
      </w:r>
      <w:proofErr w:type="spellStart"/>
      <w:r w:rsidRPr="00F930B5">
        <w:t>Choduń</w:t>
      </w:r>
      <w:proofErr w:type="spellEnd"/>
      <w:r w:rsidRPr="00F930B5">
        <w:t xml:space="preserve">, </w:t>
      </w:r>
      <w:r w:rsidRPr="00F930B5">
        <w:rPr>
          <w:i/>
          <w:iCs/>
        </w:rPr>
        <w:t>Leksyka tekstów prawnych</w:t>
      </w:r>
      <w:r w:rsidRPr="00F930B5">
        <w:t xml:space="preserve"> , RPEiS 68, 2006, z. 4., s.30.</w:t>
      </w:r>
    </w:p>
  </w:footnote>
  <w:footnote w:id="13">
    <w:p w14:paraId="2EC9A3A7" w14:textId="77777777" w:rsidR="001E3B3B" w:rsidRPr="00F930B5" w:rsidRDefault="001E3B3B" w:rsidP="001E3B3B">
      <w:pPr>
        <w:pStyle w:val="Tekstprzypisudolnego"/>
        <w:ind w:left="284" w:hanging="284"/>
      </w:pPr>
      <w:r w:rsidRPr="00F930B5">
        <w:rPr>
          <w:rStyle w:val="Odwoanieprzypisudolnego"/>
        </w:rPr>
        <w:footnoteRef/>
      </w:r>
      <w:r w:rsidRPr="00F930B5">
        <w:t xml:space="preserve"> </w:t>
      </w:r>
      <w:r>
        <w:t xml:space="preserve"> </w:t>
      </w:r>
      <w:r w:rsidRPr="00F930B5">
        <w:t xml:space="preserve">L. Morawski, </w:t>
      </w:r>
      <w:r w:rsidRPr="00F930B5">
        <w:rPr>
          <w:i/>
          <w:iCs/>
        </w:rPr>
        <w:t>O dwóch sposobach definiowania pojęć</w:t>
      </w:r>
      <w:r w:rsidRPr="00F930B5">
        <w:t xml:space="preserve">, [w:] </w:t>
      </w:r>
      <w:r w:rsidRPr="00F930B5">
        <w:rPr>
          <w:i/>
          <w:iCs/>
        </w:rPr>
        <w:t>Acta Universitatis Nicolai Copernici</w:t>
      </w:r>
      <w:r w:rsidRPr="00F930B5">
        <w:t xml:space="preserve">. Nauki Humanistyczno-Społeczne, z 115, Prawo XIX, Toruń 1981, s.56 </w:t>
      </w:r>
    </w:p>
  </w:footnote>
  <w:footnote w:id="14">
    <w:p w14:paraId="0897FAE3"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Np. Wyrok SN z 14.06.1968 r. I CR 432/67, OSNC 1969, nr 7-8, poz. 137., Wyrok SN z 6.08.1969 r., I KR 71/69, OSNKW 1970, nr 1, poz. 11, Wyrok SN z 8.02.1974 r., V KR 42/74, OSNKW 1974, nr 6, poz. 115. W tym ostatnim wyroku, Sąd Najwyższy uzasadniał, „Za przyjęciem zaś winy umyślnej przemawia to, że oskarżona sprzedawała biżuterię także przez podstawione osoby, nazwane w tej sprawie firmantami, i sama do protokołu podała, że czyniła tak, aby uniknąć odpowiedzialności podatkowej”</w:t>
      </w:r>
    </w:p>
  </w:footnote>
  <w:footnote w:id="15">
    <w:p w14:paraId="4980994D"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L. Gardocki</w:t>
      </w:r>
      <w:r w:rsidRPr="00F930B5">
        <w:rPr>
          <w:rFonts w:cs="Times New Roman"/>
          <w:i/>
          <w:iCs/>
        </w:rPr>
        <w:t>, op. cit.</w:t>
      </w:r>
    </w:p>
  </w:footnote>
  <w:footnote w:id="16">
    <w:p w14:paraId="6585F9B5"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Ustawa z dnia 23 grudnia 1988 r. o działalności gospodarczej (Dz. U. Nr 41, poz. 324 ze zm.). https://sip.lex.pl/#/act/16792932/28974/dzialalnosc-gospodarcza (dostęp: 2023-11-19).</w:t>
      </w:r>
    </w:p>
  </w:footnote>
  <w:footnote w:id="17">
    <w:p w14:paraId="5FC993AE" w14:textId="77777777" w:rsidR="001E3B3B" w:rsidRPr="00F930B5" w:rsidRDefault="001E3B3B" w:rsidP="001E3B3B">
      <w:pPr>
        <w:pStyle w:val="Tekstprzypisudolnego"/>
        <w:ind w:left="284" w:hanging="284"/>
        <w:jc w:val="left"/>
        <w:rPr>
          <w:i/>
          <w:iCs/>
        </w:rPr>
      </w:pPr>
      <w:r w:rsidRPr="00F930B5">
        <w:rPr>
          <w:rStyle w:val="Odwoanieprzypisudolnego"/>
        </w:rPr>
        <w:footnoteRef/>
      </w:r>
      <w:r w:rsidRPr="00F930B5">
        <w:t xml:space="preserve"> </w:t>
      </w:r>
      <w:r>
        <w:t xml:space="preserve">  </w:t>
      </w:r>
      <w:r w:rsidRPr="00F930B5">
        <w:t xml:space="preserve">K. Wach, </w:t>
      </w:r>
      <w:r w:rsidRPr="00F930B5">
        <w:rPr>
          <w:i/>
          <w:iCs/>
        </w:rPr>
        <w:t xml:space="preserve">Swoboda przedsiębiorczości w Unii Europejskiej, [w:] Wspólna Europa. Tworzenie wartości przedsiębiorstwa na rynku Unii Europejskiej, </w:t>
      </w:r>
      <w:r w:rsidRPr="00F930B5">
        <w:t>red. H. Brdulak, E. Duliniec,T. Gołębiowski, Oficyna Wydawnicza Szkoły Głównej Handlowej, Warszawa 2007, s. 209-218 (ISBN</w:t>
      </w:r>
      <w:r w:rsidRPr="00F930B5">
        <w:rPr>
          <w:i/>
          <w:iCs/>
        </w:rPr>
        <w:t xml:space="preserve"> </w:t>
      </w:r>
      <w:r w:rsidRPr="00F930B5">
        <w:t>978-83-7378-316-4).</w:t>
      </w:r>
    </w:p>
  </w:footnote>
  <w:footnote w:id="18">
    <w:p w14:paraId="53336EE0" w14:textId="77777777" w:rsidR="001E3B3B" w:rsidRPr="00F930B5" w:rsidRDefault="001E3B3B" w:rsidP="001E3B3B">
      <w:pPr>
        <w:pStyle w:val="Tekstprzypisudolnego"/>
        <w:ind w:left="284" w:hanging="284"/>
        <w:rPr>
          <w:lang w:val="de-DE"/>
        </w:rPr>
      </w:pPr>
      <w:r w:rsidRPr="00F930B5">
        <w:rPr>
          <w:rStyle w:val="Odwoanieprzypisudolnego"/>
        </w:rPr>
        <w:footnoteRef/>
      </w:r>
      <w:r w:rsidRPr="00F930B5">
        <w:rPr>
          <w:lang w:val="de-DE"/>
        </w:rPr>
        <w:t xml:space="preserve"> </w:t>
      </w:r>
      <w:r>
        <w:rPr>
          <w:lang w:val="de-DE"/>
        </w:rPr>
        <w:t xml:space="preserve">  </w:t>
      </w:r>
      <w:r w:rsidRPr="00F930B5">
        <w:rPr>
          <w:lang w:val="de-DE"/>
        </w:rPr>
        <w:t xml:space="preserve">G. Uber, Freiheit des Berufs. Artikel 12 des Grundgesetzes. </w:t>
      </w:r>
      <w:r w:rsidRPr="001E02E9">
        <w:rPr>
          <w:i/>
          <w:iCs/>
          <w:lang w:val="de-DE"/>
        </w:rPr>
        <w:t>Nach einer rechtsgrundsätzlichen Betrachtung der individuellen Freihei</w:t>
      </w:r>
      <w:r w:rsidRPr="00F930B5">
        <w:rPr>
          <w:lang w:val="de-DE"/>
        </w:rPr>
        <w:t xml:space="preserve">t, Hamburg 1952, s. 28; P. Schneider, In dubio pro libertate [w:] Hundert Jahre deutsches Rechtsleben. Festschrift zum </w:t>
      </w:r>
      <w:proofErr w:type="spellStart"/>
      <w:r w:rsidRPr="00F930B5">
        <w:rPr>
          <w:lang w:val="de-DE"/>
        </w:rPr>
        <w:t>hundertjahrigen</w:t>
      </w:r>
      <w:proofErr w:type="spellEnd"/>
      <w:r w:rsidRPr="00F930B5">
        <w:rPr>
          <w:lang w:val="de-DE"/>
        </w:rPr>
        <w:t xml:space="preserve"> Bestehen des Deutschen Juristentages, </w:t>
      </w:r>
      <w:proofErr w:type="spellStart"/>
      <w:r w:rsidRPr="00F930B5">
        <w:rPr>
          <w:lang w:val="de-DE"/>
        </w:rPr>
        <w:t>Karslruhe</w:t>
      </w:r>
      <w:proofErr w:type="spellEnd"/>
      <w:r w:rsidRPr="00F930B5">
        <w:rPr>
          <w:lang w:val="de-DE"/>
        </w:rPr>
        <w:t xml:space="preserve"> 1960, s. 279 i n.; E. von Hippel, Grenzen und Wesensgehalt der Grundrechte, Berlin 1965, s. 18; W. Maihofer, Grundwerte heute in Staat und Gesellschaft [w:] Grundwerte in Staat und Gesellschaft, red. G. </w:t>
      </w:r>
      <w:proofErr w:type="spellStart"/>
      <w:r w:rsidRPr="00F930B5">
        <w:rPr>
          <w:lang w:val="de-DE"/>
        </w:rPr>
        <w:t>Gorschenek</w:t>
      </w:r>
      <w:proofErr w:type="spellEnd"/>
      <w:r w:rsidRPr="00F930B5">
        <w:rPr>
          <w:lang w:val="de-DE"/>
        </w:rPr>
        <w:t xml:space="preserve">, München 1977, s. 94–97; G. Hoffmann, Berufsfreiheit als Grundrecht der Arbeit, Baden-Baden 1981, s. 57–58; R. Alexy, </w:t>
      </w:r>
      <w:proofErr w:type="spellStart"/>
      <w:r w:rsidRPr="00F930B5">
        <w:rPr>
          <w:lang w:val="de-DE"/>
        </w:rPr>
        <w:t>Teoria</w:t>
      </w:r>
      <w:proofErr w:type="spellEnd"/>
      <w:r w:rsidRPr="00F930B5">
        <w:rPr>
          <w:lang w:val="de-DE"/>
        </w:rPr>
        <w:t xml:space="preserve"> </w:t>
      </w:r>
      <w:proofErr w:type="spellStart"/>
      <w:r w:rsidRPr="00F930B5">
        <w:rPr>
          <w:lang w:val="de-DE"/>
        </w:rPr>
        <w:t>praw</w:t>
      </w:r>
      <w:proofErr w:type="spellEnd"/>
      <w:r w:rsidRPr="00F930B5">
        <w:rPr>
          <w:lang w:val="de-DE"/>
        </w:rPr>
        <w:t xml:space="preserve"> </w:t>
      </w:r>
      <w:proofErr w:type="spellStart"/>
      <w:r w:rsidRPr="00F930B5">
        <w:rPr>
          <w:lang w:val="de-DE"/>
        </w:rPr>
        <w:t>podstawowych</w:t>
      </w:r>
      <w:proofErr w:type="spellEnd"/>
      <w:r w:rsidRPr="00F930B5">
        <w:rPr>
          <w:lang w:val="de-DE"/>
        </w:rPr>
        <w:t>, Warszawa 2010, s. 423–425 (</w:t>
      </w:r>
      <w:proofErr w:type="spellStart"/>
      <w:r w:rsidRPr="00F930B5">
        <w:rPr>
          <w:lang w:val="de-DE"/>
        </w:rPr>
        <w:t>za</w:t>
      </w:r>
      <w:proofErr w:type="spellEnd"/>
      <w:r w:rsidRPr="00F930B5">
        <w:rPr>
          <w:lang w:val="de-DE"/>
        </w:rPr>
        <w:t xml:space="preserve">:) J. </w:t>
      </w:r>
      <w:proofErr w:type="spellStart"/>
      <w:r w:rsidRPr="00F930B5">
        <w:rPr>
          <w:lang w:val="de-DE"/>
        </w:rPr>
        <w:t>Roszkiewicz</w:t>
      </w:r>
      <w:proofErr w:type="spellEnd"/>
      <w:r w:rsidRPr="00F930B5">
        <w:rPr>
          <w:lang w:val="de-DE"/>
        </w:rPr>
        <w:t xml:space="preserve">, </w:t>
      </w:r>
      <w:proofErr w:type="spellStart"/>
      <w:r w:rsidRPr="00F930B5">
        <w:rPr>
          <w:lang w:val="de-DE"/>
        </w:rPr>
        <w:t>Rozdział</w:t>
      </w:r>
      <w:proofErr w:type="spellEnd"/>
      <w:r w:rsidRPr="00F930B5">
        <w:rPr>
          <w:lang w:val="de-DE"/>
        </w:rPr>
        <w:t xml:space="preserve"> I </w:t>
      </w:r>
      <w:proofErr w:type="spellStart"/>
      <w:r w:rsidRPr="00F930B5">
        <w:rPr>
          <w:i/>
          <w:iCs/>
          <w:lang w:val="de-DE"/>
        </w:rPr>
        <w:t>Uwagi</w:t>
      </w:r>
      <w:proofErr w:type="spellEnd"/>
      <w:r w:rsidRPr="00F930B5">
        <w:rPr>
          <w:i/>
          <w:iCs/>
          <w:lang w:val="de-DE"/>
        </w:rPr>
        <w:t xml:space="preserve"> </w:t>
      </w:r>
      <w:proofErr w:type="spellStart"/>
      <w:r w:rsidRPr="00F930B5">
        <w:rPr>
          <w:i/>
          <w:iCs/>
          <w:lang w:val="de-DE"/>
        </w:rPr>
        <w:t>ogólne</w:t>
      </w:r>
      <w:proofErr w:type="spellEnd"/>
      <w:r w:rsidRPr="00F930B5">
        <w:rPr>
          <w:i/>
          <w:iCs/>
          <w:lang w:val="de-DE"/>
        </w:rPr>
        <w:t xml:space="preserve"> na </w:t>
      </w:r>
      <w:proofErr w:type="spellStart"/>
      <w:r w:rsidRPr="00F930B5">
        <w:rPr>
          <w:i/>
          <w:iCs/>
          <w:lang w:val="de-DE"/>
        </w:rPr>
        <w:t>temat</w:t>
      </w:r>
      <w:proofErr w:type="spellEnd"/>
      <w:r w:rsidRPr="00F930B5">
        <w:rPr>
          <w:i/>
          <w:iCs/>
          <w:lang w:val="de-DE"/>
        </w:rPr>
        <w:t xml:space="preserve"> </w:t>
      </w:r>
      <w:proofErr w:type="spellStart"/>
      <w:r w:rsidRPr="00F930B5">
        <w:rPr>
          <w:i/>
          <w:iCs/>
          <w:lang w:val="de-DE"/>
        </w:rPr>
        <w:t>wykładni</w:t>
      </w:r>
      <w:proofErr w:type="spellEnd"/>
      <w:r w:rsidRPr="00F930B5">
        <w:rPr>
          <w:i/>
          <w:iCs/>
          <w:lang w:val="de-DE"/>
        </w:rPr>
        <w:t xml:space="preserve"> in </w:t>
      </w:r>
      <w:proofErr w:type="spellStart"/>
      <w:r w:rsidRPr="00F930B5">
        <w:rPr>
          <w:i/>
          <w:iCs/>
          <w:lang w:val="de-DE"/>
        </w:rPr>
        <w:t>favorem</w:t>
      </w:r>
      <w:proofErr w:type="spellEnd"/>
      <w:r w:rsidRPr="00F930B5">
        <w:rPr>
          <w:i/>
          <w:iCs/>
          <w:lang w:val="de-DE"/>
        </w:rPr>
        <w:t xml:space="preserve"> </w:t>
      </w:r>
      <w:proofErr w:type="spellStart"/>
      <w:r w:rsidRPr="00F930B5">
        <w:rPr>
          <w:i/>
          <w:iCs/>
          <w:lang w:val="de-DE"/>
        </w:rPr>
        <w:t>libertatis</w:t>
      </w:r>
      <w:proofErr w:type="spellEnd"/>
      <w:r w:rsidRPr="00F930B5">
        <w:rPr>
          <w:lang w:val="de-DE"/>
        </w:rPr>
        <w:t xml:space="preserve"> [w:] </w:t>
      </w:r>
      <w:proofErr w:type="spellStart"/>
      <w:r w:rsidRPr="00F930B5">
        <w:rPr>
          <w:i/>
          <w:iCs/>
          <w:lang w:val="de-DE"/>
        </w:rPr>
        <w:t>Wykładnia</w:t>
      </w:r>
      <w:proofErr w:type="spellEnd"/>
      <w:r w:rsidRPr="00F930B5">
        <w:rPr>
          <w:i/>
          <w:iCs/>
          <w:lang w:val="de-DE"/>
        </w:rPr>
        <w:t xml:space="preserve"> in </w:t>
      </w:r>
      <w:proofErr w:type="spellStart"/>
      <w:r w:rsidRPr="00F930B5">
        <w:rPr>
          <w:i/>
          <w:iCs/>
          <w:lang w:val="de-DE"/>
        </w:rPr>
        <w:t>favorem</w:t>
      </w:r>
      <w:proofErr w:type="spellEnd"/>
      <w:r w:rsidRPr="00F930B5">
        <w:rPr>
          <w:i/>
          <w:iCs/>
          <w:lang w:val="de-DE"/>
        </w:rPr>
        <w:t xml:space="preserve"> </w:t>
      </w:r>
      <w:proofErr w:type="spellStart"/>
      <w:r w:rsidRPr="00F930B5">
        <w:rPr>
          <w:i/>
          <w:iCs/>
          <w:lang w:val="de-DE"/>
        </w:rPr>
        <w:t>libertatis</w:t>
      </w:r>
      <w:proofErr w:type="spellEnd"/>
      <w:r w:rsidRPr="00F930B5">
        <w:rPr>
          <w:i/>
          <w:iCs/>
          <w:lang w:val="de-DE"/>
        </w:rPr>
        <w:t xml:space="preserve"> </w:t>
      </w:r>
      <w:proofErr w:type="spellStart"/>
      <w:r w:rsidRPr="00F930B5">
        <w:rPr>
          <w:i/>
          <w:iCs/>
          <w:lang w:val="de-DE"/>
        </w:rPr>
        <w:t>jako</w:t>
      </w:r>
      <w:proofErr w:type="spellEnd"/>
      <w:r w:rsidRPr="00F930B5">
        <w:rPr>
          <w:i/>
          <w:iCs/>
          <w:lang w:val="de-DE"/>
        </w:rPr>
        <w:t xml:space="preserve"> </w:t>
      </w:r>
      <w:proofErr w:type="spellStart"/>
      <w:r w:rsidRPr="00F930B5">
        <w:rPr>
          <w:i/>
          <w:iCs/>
          <w:lang w:val="de-DE"/>
        </w:rPr>
        <w:t>wymóg</w:t>
      </w:r>
      <w:proofErr w:type="spellEnd"/>
      <w:r w:rsidRPr="00F930B5">
        <w:rPr>
          <w:i/>
          <w:iCs/>
          <w:lang w:val="de-DE"/>
        </w:rPr>
        <w:t xml:space="preserve"> </w:t>
      </w:r>
      <w:proofErr w:type="spellStart"/>
      <w:r w:rsidRPr="00F930B5">
        <w:rPr>
          <w:i/>
          <w:iCs/>
          <w:lang w:val="de-DE"/>
        </w:rPr>
        <w:t>konstytucyjny</w:t>
      </w:r>
      <w:proofErr w:type="spellEnd"/>
      <w:r w:rsidRPr="00F930B5">
        <w:rPr>
          <w:i/>
          <w:iCs/>
          <w:lang w:val="de-DE"/>
        </w:rPr>
        <w:t xml:space="preserve"> w </w:t>
      </w:r>
      <w:proofErr w:type="spellStart"/>
      <w:r w:rsidRPr="00F930B5">
        <w:rPr>
          <w:i/>
          <w:iCs/>
          <w:lang w:val="de-DE"/>
        </w:rPr>
        <w:t>świetle</w:t>
      </w:r>
      <w:proofErr w:type="spellEnd"/>
      <w:r w:rsidRPr="00F930B5">
        <w:rPr>
          <w:i/>
          <w:iCs/>
          <w:lang w:val="de-DE"/>
        </w:rPr>
        <w:t xml:space="preserve"> </w:t>
      </w:r>
      <w:proofErr w:type="spellStart"/>
      <w:r w:rsidRPr="00F930B5">
        <w:rPr>
          <w:i/>
          <w:iCs/>
          <w:lang w:val="de-DE"/>
        </w:rPr>
        <w:t>orzecznictwa</w:t>
      </w:r>
      <w:proofErr w:type="spellEnd"/>
      <w:r w:rsidRPr="00F930B5">
        <w:rPr>
          <w:lang w:val="de-DE"/>
        </w:rPr>
        <w:t>, Warszawa 2023. https://sip.lex.pl/#/monograph/369544785/6/roszkiewicz-janusz-wykladnia-in-favorem-libertatis-jako-wymog-konstytucyjny-w-swietle-orzecznictwa (dostęp: 2023-11-25)</w:t>
      </w:r>
    </w:p>
  </w:footnote>
  <w:footnote w:id="19">
    <w:p w14:paraId="77315A18"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Pr>
          <w:rFonts w:cs="Times New Roman"/>
        </w:rPr>
        <w:t xml:space="preserve"> </w:t>
      </w:r>
      <w:r w:rsidRPr="00F930B5">
        <w:rPr>
          <w:rFonts w:cs="Times New Roman"/>
        </w:rPr>
        <w:t xml:space="preserve"> </w:t>
      </w:r>
      <w:r>
        <w:rPr>
          <w:rFonts w:cs="Times New Roman"/>
        </w:rPr>
        <w:t xml:space="preserve"> </w:t>
      </w:r>
      <w:r w:rsidRPr="00F930B5">
        <w:rPr>
          <w:rFonts w:cs="Times New Roman"/>
        </w:rPr>
        <w:t>Tj.  Dz. U. z 2023 r. poz. 221 ze zm..</w:t>
      </w:r>
    </w:p>
  </w:footnote>
  <w:footnote w:id="20">
    <w:p w14:paraId="3B5A38F0"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 xml:space="preserve">Dopuszczając w powyższym zakresie koncepcję </w:t>
      </w:r>
      <w:r w:rsidRPr="00F930B5">
        <w:rPr>
          <w:rFonts w:cs="Times New Roman"/>
          <w:i/>
          <w:iCs/>
        </w:rPr>
        <w:t>superfluum</w:t>
      </w:r>
      <w:r w:rsidRPr="00F930B5">
        <w:rPr>
          <w:rFonts w:cs="Times New Roman"/>
        </w:rPr>
        <w:t xml:space="preserve">, podnosić można, że „ bezpiecznej jest dopuścić rzeczy zbyteczne aniżeli opuścić rzeczy konieczne” (łac. </w:t>
      </w:r>
      <w:proofErr w:type="spellStart"/>
      <w:r w:rsidRPr="00F930B5">
        <w:rPr>
          <w:rFonts w:cs="Times New Roman"/>
          <w:i/>
          <w:iCs/>
        </w:rPr>
        <w:t>Superflua</w:t>
      </w:r>
      <w:proofErr w:type="spellEnd"/>
      <w:r w:rsidRPr="00F930B5">
        <w:rPr>
          <w:rFonts w:cs="Times New Roman"/>
          <w:i/>
          <w:iCs/>
        </w:rPr>
        <w:t xml:space="preserve"> </w:t>
      </w:r>
      <w:proofErr w:type="spellStart"/>
      <w:r w:rsidRPr="00F930B5">
        <w:rPr>
          <w:rFonts w:cs="Times New Roman"/>
          <w:i/>
          <w:iCs/>
        </w:rPr>
        <w:t>admittere</w:t>
      </w:r>
      <w:proofErr w:type="spellEnd"/>
      <w:r w:rsidRPr="00F930B5">
        <w:rPr>
          <w:rFonts w:cs="Times New Roman"/>
          <w:i/>
          <w:iCs/>
        </w:rPr>
        <w:t xml:space="preserve"> </w:t>
      </w:r>
      <w:proofErr w:type="spellStart"/>
      <w:r w:rsidRPr="00F930B5">
        <w:rPr>
          <w:rFonts w:cs="Times New Roman"/>
          <w:i/>
          <w:iCs/>
        </w:rPr>
        <w:t>securius</w:t>
      </w:r>
      <w:proofErr w:type="spellEnd"/>
      <w:r w:rsidRPr="00F930B5">
        <w:rPr>
          <w:rFonts w:cs="Times New Roman"/>
          <w:i/>
          <w:iCs/>
        </w:rPr>
        <w:t xml:space="preserve"> </w:t>
      </w:r>
      <w:proofErr w:type="spellStart"/>
      <w:r w:rsidRPr="00F930B5">
        <w:rPr>
          <w:rFonts w:cs="Times New Roman"/>
          <w:i/>
          <w:iCs/>
        </w:rPr>
        <w:t>est</w:t>
      </w:r>
      <w:proofErr w:type="spellEnd"/>
      <w:r w:rsidRPr="00F930B5">
        <w:rPr>
          <w:rFonts w:cs="Times New Roman"/>
          <w:i/>
          <w:iCs/>
        </w:rPr>
        <w:t xml:space="preserve">, </w:t>
      </w:r>
      <w:proofErr w:type="spellStart"/>
      <w:r w:rsidRPr="00F930B5">
        <w:rPr>
          <w:rFonts w:cs="Times New Roman"/>
          <w:i/>
          <w:iCs/>
        </w:rPr>
        <w:t>quam</w:t>
      </w:r>
      <w:proofErr w:type="spellEnd"/>
      <w:r w:rsidRPr="00F930B5">
        <w:rPr>
          <w:rFonts w:cs="Times New Roman"/>
          <w:i/>
          <w:iCs/>
        </w:rPr>
        <w:t xml:space="preserve"> </w:t>
      </w:r>
      <w:proofErr w:type="spellStart"/>
      <w:r w:rsidRPr="00F930B5">
        <w:rPr>
          <w:rFonts w:cs="Times New Roman"/>
          <w:i/>
          <w:iCs/>
        </w:rPr>
        <w:t>necessaria</w:t>
      </w:r>
      <w:proofErr w:type="spellEnd"/>
      <w:r w:rsidRPr="00F930B5">
        <w:rPr>
          <w:rFonts w:cs="Times New Roman"/>
          <w:i/>
          <w:iCs/>
        </w:rPr>
        <w:t xml:space="preserve"> </w:t>
      </w:r>
      <w:proofErr w:type="spellStart"/>
      <w:r w:rsidRPr="00F930B5">
        <w:rPr>
          <w:rFonts w:cs="Times New Roman"/>
          <w:i/>
          <w:iCs/>
        </w:rPr>
        <w:t>omittere</w:t>
      </w:r>
      <w:proofErr w:type="spellEnd"/>
      <w:r w:rsidRPr="00F930B5">
        <w:rPr>
          <w:rFonts w:cs="Times New Roman"/>
        </w:rPr>
        <w:t xml:space="preserve">), jednak powstała „niezgodność prakseologiczna” </w:t>
      </w:r>
      <w:r>
        <w:rPr>
          <w:rFonts w:cs="Times New Roman"/>
        </w:rPr>
        <w:t xml:space="preserve">, </w:t>
      </w:r>
      <w:proofErr w:type="spellStart"/>
      <w:r w:rsidRPr="00F930B5">
        <w:rPr>
          <w:rFonts w:cs="Times New Roman"/>
        </w:rPr>
        <w:t>S.Wronkowska</w:t>
      </w:r>
      <w:proofErr w:type="spellEnd"/>
      <w:r w:rsidRPr="00F930B5">
        <w:rPr>
          <w:rFonts w:cs="Times New Roman"/>
        </w:rPr>
        <w:t xml:space="preserve">, </w:t>
      </w:r>
      <w:proofErr w:type="spellStart"/>
      <w:r w:rsidRPr="00F930B5">
        <w:rPr>
          <w:rFonts w:cs="Times New Roman"/>
        </w:rPr>
        <w:t>Z.Ziembiński</w:t>
      </w:r>
      <w:proofErr w:type="spellEnd"/>
      <w:r w:rsidRPr="00F930B5">
        <w:rPr>
          <w:rFonts w:cs="Times New Roman"/>
        </w:rPr>
        <w:t xml:space="preserve">: </w:t>
      </w:r>
      <w:r w:rsidRPr="00F930B5">
        <w:rPr>
          <w:rFonts w:cs="Times New Roman"/>
          <w:i/>
          <w:iCs/>
        </w:rPr>
        <w:t>Zarys teorii prawa,</w:t>
      </w:r>
      <w:r w:rsidRPr="00F930B5">
        <w:rPr>
          <w:rFonts w:cs="Times New Roman"/>
        </w:rPr>
        <w:t xml:space="preserve"> Poznań 2001, s.181.]  nie kreując sama w sobie wadliwości formalnej systemu prawa, prowadzi jednak do jego nieefektywności, ze względu na nieuporządkowany system wartości, w którym interes wierzyciela podatkowego przeważa nad konsekwencjami dopuszczenia przez ustawodawcę wolności gospodarczej, oraz począwszy od dnia 1 maja 2004 możliwości korzystania z usług powierniczych przez polskiego dłużnika podatkowego. oferowanych mu za granicą oraz ze względu na niespójność wiedzy, na podstawie której podejmowane były rozstrzygnięcia legislacyjne poprzez wejście w życie k.k.s , po dniu 1 maja 2004.</w:t>
      </w:r>
    </w:p>
  </w:footnote>
  <w:footnote w:id="21">
    <w:p w14:paraId="0F473086"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w:t>
      </w:r>
      <w:r>
        <w:rPr>
          <w:rFonts w:cs="Times New Roman"/>
        </w:rPr>
        <w:t xml:space="preserve"> </w:t>
      </w:r>
      <w:r w:rsidRPr="00F930B5">
        <w:rPr>
          <w:rFonts w:cs="Times New Roman"/>
        </w:rPr>
        <w:t xml:space="preserve">L. Gardocki, </w:t>
      </w:r>
      <w:r w:rsidRPr="00F930B5">
        <w:rPr>
          <w:rFonts w:cs="Times New Roman"/>
          <w:i/>
          <w:iCs/>
        </w:rPr>
        <w:t xml:space="preserve">op. cit. </w:t>
      </w:r>
      <w:r w:rsidRPr="00F930B5">
        <w:rPr>
          <w:rFonts w:cs="Times New Roman"/>
        </w:rPr>
        <w:t>, s. 7.</w:t>
      </w:r>
    </w:p>
  </w:footnote>
  <w:footnote w:id="22">
    <w:p w14:paraId="391D3648" w14:textId="77777777" w:rsidR="001E3B3B" w:rsidRPr="00F930B5" w:rsidRDefault="001E3B3B" w:rsidP="001E3B3B">
      <w:pPr>
        <w:pStyle w:val="Tekstprzypisudolnego"/>
        <w:ind w:left="284" w:hanging="284"/>
      </w:pPr>
      <w:r w:rsidRPr="00F930B5">
        <w:rPr>
          <w:rStyle w:val="Odwoanieprzypisudolnego"/>
        </w:rPr>
        <w:footnoteRef/>
      </w:r>
      <w:r w:rsidRPr="00F930B5">
        <w:t xml:space="preserve"> </w:t>
      </w:r>
      <w:r>
        <w:t xml:space="preserve"> </w:t>
      </w:r>
      <w:r w:rsidRPr="00F930B5">
        <w:t xml:space="preserve">Wyrok NSA z dnia 19 lipca 2011 r. I FSK 1122/10 z glosą M. </w:t>
      </w:r>
      <w:proofErr w:type="spellStart"/>
      <w:r w:rsidRPr="00F930B5">
        <w:t>Jendraszczyka</w:t>
      </w:r>
      <w:proofErr w:type="spellEnd"/>
      <w:r w:rsidRPr="00F930B5">
        <w:t>, POP 2013 nr 4, s. 319.</w:t>
      </w:r>
    </w:p>
  </w:footnote>
  <w:footnote w:id="23">
    <w:p w14:paraId="30B84B70" w14:textId="77777777" w:rsidR="001E3B3B" w:rsidRDefault="001E3B3B" w:rsidP="001E3B3B">
      <w:pPr>
        <w:pStyle w:val="Tekstprzypisudolnego"/>
        <w:ind w:left="284" w:hanging="284"/>
      </w:pPr>
      <w:r>
        <w:rPr>
          <w:rStyle w:val="Odwoanieprzypisudolnego"/>
        </w:rPr>
        <w:footnoteRef/>
      </w:r>
      <w:r>
        <w:t xml:space="preserve">  Z zastrzeżeniem L. Gardockiego, co do stosowania wyjątków w zakresie przesłanek absolutnych, zob. L Gardocki, </w:t>
      </w:r>
      <w:r>
        <w:rPr>
          <w:i/>
          <w:iCs/>
        </w:rPr>
        <w:t xml:space="preserve">Zagadnienia …, </w:t>
      </w:r>
      <w:r>
        <w:t xml:space="preserve">s. 206. </w:t>
      </w:r>
    </w:p>
  </w:footnote>
  <w:footnote w:id="24">
    <w:p w14:paraId="2932D504" w14:textId="77777777" w:rsidR="001E3B3B" w:rsidRPr="00F930B5" w:rsidRDefault="001E3B3B" w:rsidP="001E3B3B">
      <w:pPr>
        <w:pStyle w:val="Tekstprzypisudolnego"/>
        <w:ind w:left="284" w:hanging="284"/>
      </w:pPr>
      <w:r>
        <w:t xml:space="preserve"> </w:t>
      </w:r>
      <w:r w:rsidRPr="00F930B5">
        <w:rPr>
          <w:rStyle w:val="Odwoanieprzypisudolnego"/>
        </w:rPr>
        <w:footnoteRef/>
      </w:r>
      <w:r w:rsidRPr="00F930B5">
        <w:t xml:space="preserve"> D. Gajewski, </w:t>
      </w:r>
      <w:r w:rsidRPr="00F930B5">
        <w:rPr>
          <w:i/>
          <w:iCs/>
        </w:rPr>
        <w:t>Polityka podatkowa struktur holdingowych a międzynarodowa konkurencja podatkowa</w:t>
      </w:r>
      <w:r w:rsidRPr="00F930B5">
        <w:t>, PUG 2014 nr 6 s. 15-18,</w:t>
      </w:r>
    </w:p>
  </w:footnote>
  <w:footnote w:id="25">
    <w:p w14:paraId="1E22BF51" w14:textId="77777777" w:rsidR="001E3B3B" w:rsidRPr="00F930B5" w:rsidRDefault="001E3B3B" w:rsidP="001E3B3B">
      <w:pPr>
        <w:pStyle w:val="Tekstprzypisudolnego"/>
        <w:ind w:left="284" w:hanging="284"/>
      </w:pPr>
      <w:r w:rsidRPr="00F930B5">
        <w:rPr>
          <w:rStyle w:val="Odwoanieprzypisudolnego"/>
        </w:rPr>
        <w:footnoteRef/>
      </w:r>
      <w:r w:rsidRPr="00F930B5">
        <w:t xml:space="preserve"> </w:t>
      </w:r>
      <w:r>
        <w:t xml:space="preserve"> </w:t>
      </w:r>
      <w:r w:rsidRPr="00F930B5">
        <w:t xml:space="preserve">Zalecenie Komisji Europejskiej z dnia 6 grudnia 2012 r. </w:t>
      </w:r>
      <w:r w:rsidRPr="00F930B5">
        <w:rPr>
          <w:i/>
          <w:iCs/>
        </w:rPr>
        <w:t>w sprawie agresywnego planowania podatkowego</w:t>
      </w:r>
      <w:r w:rsidRPr="00F930B5">
        <w:t xml:space="preserve">, </w:t>
      </w:r>
      <w:r w:rsidRPr="00F930B5">
        <w:br/>
        <w:t>Dz. Urz. UE. L. z 2012 r. Nr 338, str. 41, https://sip.lex.pl/#/act/68264826/1497372/agresywne-planowanie-podatkowe?keyword=agresywne%20unikanie%20opodatkowania&amp;cm=SFIRST (dostęp: 2021-06-05).</w:t>
      </w:r>
    </w:p>
  </w:footnote>
  <w:footnote w:id="26">
    <w:p w14:paraId="36123721" w14:textId="77777777" w:rsidR="001E3B3B" w:rsidRPr="00F930B5" w:rsidRDefault="001E3B3B" w:rsidP="001E3B3B">
      <w:pPr>
        <w:pStyle w:val="Tekstprzypisudolnego"/>
        <w:ind w:left="284" w:hanging="284"/>
        <w:rPr>
          <w:rFonts w:cs="Times New Roman"/>
        </w:rPr>
      </w:pPr>
      <w:r w:rsidRPr="00F930B5">
        <w:rPr>
          <w:rStyle w:val="Odwoanieprzypisudolnego"/>
        </w:rPr>
        <w:footnoteRef/>
      </w:r>
      <w:r w:rsidRPr="00F930B5">
        <w:t xml:space="preserve"> </w:t>
      </w:r>
      <w:r>
        <w:rPr>
          <w:rFonts w:cs="Times New Roman"/>
        </w:rPr>
        <w:t xml:space="preserve"> M. </w:t>
      </w:r>
      <w:r w:rsidRPr="00F930B5">
        <w:rPr>
          <w:rFonts w:cs="Times New Roman"/>
        </w:rPr>
        <w:t xml:space="preserve">Tomczyk, </w:t>
      </w:r>
      <w:r w:rsidRPr="00F930B5">
        <w:rPr>
          <w:rFonts w:cs="Times New Roman"/>
          <w:i/>
          <w:iCs/>
        </w:rPr>
        <w:t xml:space="preserve">Zasada </w:t>
      </w:r>
      <w:proofErr w:type="spellStart"/>
      <w:r w:rsidRPr="00F930B5">
        <w:rPr>
          <w:rFonts w:cs="Times New Roman"/>
          <w:i/>
          <w:iCs/>
        </w:rPr>
        <w:t>nullum</w:t>
      </w:r>
      <w:proofErr w:type="spellEnd"/>
      <w:r w:rsidRPr="00F930B5">
        <w:rPr>
          <w:rFonts w:cs="Times New Roman"/>
          <w:i/>
          <w:iCs/>
        </w:rPr>
        <w:t xml:space="preserve"> </w:t>
      </w:r>
      <w:proofErr w:type="spellStart"/>
      <w:r w:rsidRPr="00F930B5">
        <w:rPr>
          <w:rFonts w:cs="Times New Roman"/>
          <w:i/>
          <w:iCs/>
        </w:rPr>
        <w:t>crimen</w:t>
      </w:r>
      <w:proofErr w:type="spellEnd"/>
      <w:r w:rsidRPr="00F930B5">
        <w:rPr>
          <w:rFonts w:cs="Times New Roman"/>
          <w:i/>
          <w:iCs/>
        </w:rPr>
        <w:t xml:space="preserve"> sine lege certa i jej ograniczenia na tle języka etnicznego</w:t>
      </w:r>
      <w:r w:rsidRPr="00F930B5">
        <w:rPr>
          <w:rFonts w:cs="Times New Roman"/>
        </w:rPr>
        <w:t>, RPEiS, Rok LXXX – z. 2 – 2018, s.101 i n. ,</w:t>
      </w:r>
    </w:p>
  </w:footnote>
  <w:footnote w:id="27">
    <w:p w14:paraId="73D9C95F" w14:textId="77777777" w:rsidR="001E3B3B" w:rsidRPr="00F930B5" w:rsidRDefault="001E3B3B" w:rsidP="001E3B3B">
      <w:pPr>
        <w:pStyle w:val="Tekstprzypisudolnego"/>
        <w:ind w:left="284" w:hanging="284"/>
        <w:rPr>
          <w:rFonts w:cs="Times New Roman"/>
        </w:rPr>
      </w:pPr>
      <w:r w:rsidRPr="00F930B5">
        <w:rPr>
          <w:rStyle w:val="Odwoanieprzypisudolnego"/>
          <w:rFonts w:cs="Times New Roman"/>
        </w:rPr>
        <w:footnoteRef/>
      </w:r>
      <w:r w:rsidRPr="00F930B5">
        <w:rPr>
          <w:rFonts w:cs="Times New Roman"/>
        </w:rPr>
        <w:t xml:space="preserve"> I. Sepioło-Jankowska, </w:t>
      </w:r>
      <w:r w:rsidRPr="00F930B5">
        <w:rPr>
          <w:rFonts w:cs="Times New Roman"/>
          <w:i/>
          <w:iCs/>
        </w:rPr>
        <w:t>Podobieństwo sankcji karnych oraz sankcji podatkowych</w:t>
      </w:r>
      <w:r w:rsidRPr="00F930B5">
        <w:rPr>
          <w:rFonts w:cs="Times New Roman"/>
        </w:rPr>
        <w:t xml:space="preserve">, </w:t>
      </w:r>
      <w:proofErr w:type="spellStart"/>
      <w:r w:rsidRPr="00F930B5">
        <w:rPr>
          <w:rFonts w:cs="Times New Roman"/>
        </w:rPr>
        <w:t>Prok.i</w:t>
      </w:r>
      <w:proofErr w:type="spellEnd"/>
      <w:r w:rsidRPr="00F930B5">
        <w:rPr>
          <w:rFonts w:cs="Times New Roman"/>
        </w:rPr>
        <w:t xml:space="preserve"> Pr. 2020, nr 2, s. 84-104, oraz I. Sepioło-Jankowska, </w:t>
      </w:r>
      <w:r w:rsidRPr="00F930B5">
        <w:rPr>
          <w:rFonts w:cs="Times New Roman"/>
          <w:i/>
          <w:iCs/>
        </w:rPr>
        <w:t>Optymalny model odpowiedzialności prawnej za czyny karne skarbowe</w:t>
      </w:r>
      <w:r w:rsidRPr="00F930B5">
        <w:rPr>
          <w:rFonts w:cs="Times New Roman"/>
        </w:rPr>
        <w:t>, Warszawa 2016.</w:t>
      </w:r>
    </w:p>
  </w:footnote>
  <w:footnote w:id="28">
    <w:p w14:paraId="050F404B" w14:textId="77777777" w:rsidR="001E3B3B" w:rsidRPr="00E108A5" w:rsidRDefault="001E3B3B" w:rsidP="001E3B3B">
      <w:pPr>
        <w:pStyle w:val="Tekstprzypisudolnego"/>
        <w:ind w:left="284" w:hanging="284"/>
        <w:rPr>
          <w:lang w:val="de-DE"/>
        </w:rPr>
      </w:pPr>
      <w:r>
        <w:rPr>
          <w:rStyle w:val="Odwoanieprzypisudolnego"/>
        </w:rPr>
        <w:footnoteRef/>
      </w:r>
      <w:r w:rsidRPr="00E108A5">
        <w:rPr>
          <w:lang w:val="de-DE"/>
        </w:rPr>
        <w:t xml:space="preserve"> </w:t>
      </w:r>
      <w:r>
        <w:rPr>
          <w:lang w:val="de-DE"/>
        </w:rPr>
        <w:t xml:space="preserve">L. </w:t>
      </w:r>
      <w:proofErr w:type="spellStart"/>
      <w:r>
        <w:rPr>
          <w:lang w:val="de-DE"/>
        </w:rPr>
        <w:t>Gardocki</w:t>
      </w:r>
      <w:proofErr w:type="spellEnd"/>
      <w:r>
        <w:rPr>
          <w:lang w:val="de-DE"/>
        </w:rPr>
        <w:t xml:space="preserve">, </w:t>
      </w:r>
      <w:proofErr w:type="spellStart"/>
      <w:r w:rsidRPr="00E108A5">
        <w:rPr>
          <w:i/>
          <w:iCs/>
          <w:lang w:val="de-DE"/>
        </w:rPr>
        <w:t>Zagadnienia</w:t>
      </w:r>
      <w:proofErr w:type="spellEnd"/>
      <w:r w:rsidRPr="00E108A5">
        <w:rPr>
          <w:i/>
          <w:iCs/>
          <w:lang w:val="de-DE"/>
        </w:rPr>
        <w:t xml:space="preserve"> …,</w:t>
      </w:r>
      <w:r>
        <w:rPr>
          <w:lang w:val="de-DE"/>
        </w:rPr>
        <w:t xml:space="preserve"> s. 128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B3B"/>
    <w:rsid w:val="001E3B3B"/>
    <w:rsid w:val="0086236B"/>
    <w:rsid w:val="00A403B7"/>
    <w:rsid w:val="00B75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AEB7E"/>
  <w15:chartTrackingRefBased/>
  <w15:docId w15:val="{D50ECC24-C5A6-4781-A958-90E8B57F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B3B"/>
    <w:pPr>
      <w:spacing w:after="0" w:line="360" w:lineRule="auto"/>
      <w:ind w:firstLine="709"/>
      <w:jc w:val="both"/>
    </w:pPr>
    <w:rPr>
      <w:rFonts w:ascii="Times New Roman" w:hAnsi="Times New Roman"/>
      <w:kern w:val="0"/>
      <w:sz w:val="24"/>
      <w:lang w:val="pl-PL"/>
      <w14:ligatures w14:val="none"/>
    </w:rPr>
  </w:style>
  <w:style w:type="paragraph" w:styleId="Nagwek1">
    <w:name w:val="heading 1"/>
    <w:basedOn w:val="Normalny"/>
    <w:next w:val="Normalny"/>
    <w:link w:val="Nagwek1Znak"/>
    <w:uiPriority w:val="9"/>
    <w:qFormat/>
    <w:rsid w:val="001E3B3B"/>
    <w:pPr>
      <w:keepNext/>
      <w:keepLines/>
      <w:spacing w:before="480"/>
      <w:outlineLvl w:val="0"/>
    </w:pPr>
    <w:rPr>
      <w:rFonts w:eastAsiaTheme="majorEastAsia" w:cstheme="majorBidi"/>
      <w:b/>
      <w:bCs/>
      <w:sz w:val="28"/>
      <w:szCs w:val="28"/>
    </w:rPr>
  </w:style>
  <w:style w:type="paragraph" w:styleId="Nagwek5">
    <w:name w:val="heading 5"/>
    <w:basedOn w:val="Normalny"/>
    <w:next w:val="Normalny"/>
    <w:link w:val="Nagwek5Znak"/>
    <w:uiPriority w:val="9"/>
    <w:unhideWhenUsed/>
    <w:qFormat/>
    <w:rsid w:val="001E3B3B"/>
    <w:pPr>
      <w:keepNext/>
      <w:keepLines/>
      <w:spacing w:before="200"/>
      <w:outlineLvl w:val="4"/>
    </w:pPr>
    <w:rPr>
      <w:rFonts w:eastAsiaTheme="majorEastAsi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3B3B"/>
    <w:rPr>
      <w:rFonts w:ascii="Times New Roman" w:eastAsiaTheme="majorEastAsia" w:hAnsi="Times New Roman" w:cstheme="majorBidi"/>
      <w:b/>
      <w:bCs/>
      <w:kern w:val="0"/>
      <w:sz w:val="28"/>
      <w:szCs w:val="28"/>
      <w:lang w:val="pl-PL"/>
      <w14:ligatures w14:val="none"/>
    </w:rPr>
  </w:style>
  <w:style w:type="character" w:customStyle="1" w:styleId="Nagwek5Znak">
    <w:name w:val="Nagłówek 5 Znak"/>
    <w:basedOn w:val="Domylnaczcionkaakapitu"/>
    <w:link w:val="Nagwek5"/>
    <w:uiPriority w:val="9"/>
    <w:rsid w:val="001E3B3B"/>
    <w:rPr>
      <w:rFonts w:ascii="Times New Roman" w:eastAsiaTheme="majorEastAsia" w:hAnsi="Times New Roman" w:cstheme="majorBidi"/>
      <w:color w:val="000000" w:themeColor="text1"/>
      <w:kern w:val="0"/>
      <w:sz w:val="24"/>
      <w:lang w:val="pl-PL"/>
      <w14:ligatures w14:val="none"/>
    </w:rPr>
  </w:style>
  <w:style w:type="paragraph" w:styleId="Tekstprzypisudolnego">
    <w:name w:val="footnote text"/>
    <w:basedOn w:val="Normalny"/>
    <w:link w:val="TekstprzypisudolnegoZnak"/>
    <w:uiPriority w:val="99"/>
    <w:unhideWhenUsed/>
    <w:rsid w:val="001E3B3B"/>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1E3B3B"/>
    <w:rPr>
      <w:rFonts w:ascii="Times New Roman" w:hAnsi="Times New Roman"/>
      <w:kern w:val="0"/>
      <w:sz w:val="20"/>
      <w:szCs w:val="20"/>
      <w:lang w:val="pl-PL"/>
      <w14:ligatures w14:val="none"/>
    </w:rPr>
  </w:style>
  <w:style w:type="character" w:styleId="Odwoanieprzypisudolnego">
    <w:name w:val="footnote reference"/>
    <w:basedOn w:val="Domylnaczcionkaakapitu"/>
    <w:uiPriority w:val="99"/>
    <w:semiHidden/>
    <w:unhideWhenUsed/>
    <w:rsid w:val="001E3B3B"/>
    <w:rPr>
      <w:vertAlign w:val="superscript"/>
    </w:rPr>
  </w:style>
  <w:style w:type="paragraph" w:styleId="Bezodstpw">
    <w:name w:val="No Spacing"/>
    <w:uiPriority w:val="1"/>
    <w:qFormat/>
    <w:rsid w:val="001E3B3B"/>
    <w:pPr>
      <w:spacing w:after="0" w:line="240" w:lineRule="auto"/>
      <w:ind w:firstLine="709"/>
      <w:jc w:val="both"/>
    </w:pPr>
    <w:rPr>
      <w:rFonts w:ascii="Times New Roman" w:hAnsi="Times New Roman"/>
      <w:kern w:val="0"/>
      <w:sz w:val="24"/>
      <w:lang w:val="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2499</Words>
  <Characters>14247</Characters>
  <Application>Microsoft Office Word</Application>
  <DocSecurity>0</DocSecurity>
  <Lines>118</Lines>
  <Paragraphs>33</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Streszczenie</vt:lpstr>
    </vt:vector>
  </TitlesOfParts>
  <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Trojanek</dc:creator>
  <cp:keywords/>
  <dc:description/>
  <cp:lastModifiedBy>Paweł Trojanek</cp:lastModifiedBy>
  <cp:revision>1</cp:revision>
  <dcterms:created xsi:type="dcterms:W3CDTF">2023-11-30T15:17:00Z</dcterms:created>
  <dcterms:modified xsi:type="dcterms:W3CDTF">2023-11-30T15:28:00Z</dcterms:modified>
</cp:coreProperties>
</file>